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E1BD" w14:textId="77777777" w:rsidR="00072820" w:rsidRPr="00484E64" w:rsidRDefault="00072820" w:rsidP="00072820">
      <w:pPr>
        <w:jc w:val="center"/>
        <w:rPr>
          <w:b/>
          <w:bCs/>
          <w:lang w:val="fr-FR"/>
        </w:rPr>
      </w:pPr>
      <w:r w:rsidRPr="00484E64">
        <w:rPr>
          <w:noProof/>
          <w:lang w:val="fr-FR"/>
        </w:rPr>
        <w:drawing>
          <wp:inline distT="0" distB="0" distL="0" distR="0" wp14:anchorId="599BF32A" wp14:editId="29F6A2DC">
            <wp:extent cx="2876550" cy="989606"/>
            <wp:effectExtent l="0" t="0" r="0" b="1270"/>
            <wp:docPr id="1" name="Pilt 1" descr="Pilt, millel on kujutatud teks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10;&#10;Kirjeldus on genereeritud automaatse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515" cy="1013676"/>
                    </a:xfrm>
                    <a:prstGeom prst="rect">
                      <a:avLst/>
                    </a:prstGeom>
                    <a:noFill/>
                    <a:ln>
                      <a:noFill/>
                    </a:ln>
                  </pic:spPr>
                </pic:pic>
              </a:graphicData>
            </a:graphic>
          </wp:inline>
        </w:drawing>
      </w:r>
    </w:p>
    <w:p w14:paraId="0030FFAF" w14:textId="77777777" w:rsidR="00072820" w:rsidRPr="00484E64" w:rsidRDefault="00072820" w:rsidP="00072820">
      <w:pPr>
        <w:jc w:val="both"/>
        <w:rPr>
          <w:b/>
          <w:bCs/>
          <w:lang w:val="fr-FR"/>
        </w:rPr>
      </w:pPr>
    </w:p>
    <w:p w14:paraId="72CD7EF7" w14:textId="77777777" w:rsidR="00072820" w:rsidRPr="00484E64" w:rsidRDefault="00072820" w:rsidP="00072820">
      <w:pPr>
        <w:jc w:val="center"/>
        <w:rPr>
          <w:rFonts w:ascii="Cambria" w:hAnsi="Cambria"/>
          <w:b/>
          <w:bCs/>
          <w:lang w:val="fr-FR"/>
        </w:rPr>
      </w:pPr>
    </w:p>
    <w:p w14:paraId="508CB1E2" w14:textId="20044776" w:rsidR="00072820" w:rsidRPr="00484E64" w:rsidRDefault="00484E64" w:rsidP="00072820">
      <w:pPr>
        <w:jc w:val="center"/>
        <w:rPr>
          <w:rFonts w:ascii="Cambria" w:hAnsi="Cambria"/>
          <w:b/>
          <w:bCs/>
          <w:sz w:val="22"/>
          <w:szCs w:val="22"/>
          <w:lang w:val="fr-FR"/>
        </w:rPr>
      </w:pPr>
      <w:r w:rsidRPr="00484E64">
        <w:rPr>
          <w:rFonts w:ascii="Cambria" w:hAnsi="Cambria"/>
          <w:b/>
          <w:bCs/>
          <w:sz w:val="22"/>
          <w:szCs w:val="22"/>
          <w:lang w:val="fr-FR"/>
        </w:rPr>
        <w:t>RÉSEAU DES PRÉSIDENTS DES COURS SUPRÊMES JUDICIAIRES</w:t>
      </w:r>
      <w:r w:rsidRPr="00484E64">
        <w:rPr>
          <w:rFonts w:ascii="Cambria" w:hAnsi="Cambria"/>
          <w:b/>
          <w:bCs/>
          <w:sz w:val="22"/>
          <w:szCs w:val="22"/>
          <w:lang w:val="fr-FR"/>
        </w:rPr>
        <w:br/>
        <w:t>DE L’UNION EUROPÉENNE</w:t>
      </w:r>
    </w:p>
    <w:p w14:paraId="4090FF65" w14:textId="77777777" w:rsidR="00072820" w:rsidRPr="00484E64" w:rsidRDefault="00072820" w:rsidP="00072820">
      <w:pPr>
        <w:jc w:val="center"/>
        <w:rPr>
          <w:b/>
          <w:bCs/>
          <w:lang w:val="fr-FR"/>
        </w:rPr>
      </w:pPr>
    </w:p>
    <w:p w14:paraId="7B8B4C2F" w14:textId="77777777" w:rsidR="0018312D" w:rsidRDefault="0018312D" w:rsidP="00072820">
      <w:pPr>
        <w:jc w:val="center"/>
        <w:rPr>
          <w:rFonts w:ascii="Cambria" w:hAnsi="Cambria"/>
          <w:b/>
          <w:bCs/>
          <w:lang w:val="fr-FR"/>
        </w:rPr>
      </w:pPr>
    </w:p>
    <w:p w14:paraId="4F726D4D" w14:textId="3B2452DA" w:rsidR="00072820" w:rsidRPr="00484E64" w:rsidRDefault="00484E64" w:rsidP="00072820">
      <w:pPr>
        <w:jc w:val="center"/>
        <w:rPr>
          <w:rFonts w:ascii="Cambria" w:hAnsi="Cambria"/>
          <w:b/>
          <w:bCs/>
          <w:lang w:val="fr-FR"/>
        </w:rPr>
      </w:pPr>
      <w:r w:rsidRPr="00484E64">
        <w:rPr>
          <w:rFonts w:ascii="Cambria" w:hAnsi="Cambria"/>
          <w:b/>
          <w:bCs/>
          <w:lang w:val="fr-FR"/>
        </w:rPr>
        <w:t>RÉUNION CONJOINTE AVEC LA</w:t>
      </w:r>
      <w:r w:rsidR="00072820" w:rsidRPr="00484E64">
        <w:rPr>
          <w:rFonts w:ascii="Cambria" w:hAnsi="Cambria"/>
          <w:b/>
          <w:bCs/>
          <w:lang w:val="fr-FR"/>
        </w:rPr>
        <w:t xml:space="preserve"> COUR </w:t>
      </w:r>
      <w:r w:rsidRPr="00484E64">
        <w:rPr>
          <w:rFonts w:ascii="Cambria" w:hAnsi="Cambria"/>
          <w:b/>
          <w:bCs/>
          <w:lang w:val="fr-FR"/>
        </w:rPr>
        <w:t>DE JUSTICE DE L’UNION EUROPÉENNE</w:t>
      </w:r>
    </w:p>
    <w:p w14:paraId="73D80D25" w14:textId="77777777" w:rsidR="00072820" w:rsidRPr="00484E64" w:rsidRDefault="00072820" w:rsidP="00072820">
      <w:pPr>
        <w:jc w:val="center"/>
        <w:rPr>
          <w:rFonts w:ascii="Cambria" w:hAnsi="Cambria"/>
          <w:b/>
          <w:bCs/>
          <w:lang w:val="fr-FR"/>
        </w:rPr>
      </w:pPr>
    </w:p>
    <w:p w14:paraId="427D2D0B" w14:textId="0E972389" w:rsidR="00072820" w:rsidRPr="00484E64" w:rsidRDefault="00C12AA0" w:rsidP="00072820">
      <w:pPr>
        <w:jc w:val="center"/>
        <w:rPr>
          <w:rFonts w:ascii="Cambria" w:eastAsia="Dotum" w:hAnsi="Cambria" w:cs="David"/>
          <w:b/>
          <w:bCs/>
          <w:sz w:val="20"/>
          <w:szCs w:val="20"/>
          <w:lang w:val="fr-FR"/>
        </w:rPr>
      </w:pPr>
      <w:r w:rsidRPr="00484E64">
        <w:rPr>
          <w:rFonts w:ascii="Cambria" w:eastAsia="Dotum" w:hAnsi="Cambria" w:cs="David"/>
          <w:b/>
          <w:bCs/>
          <w:sz w:val="20"/>
          <w:szCs w:val="20"/>
          <w:lang w:val="fr-FR"/>
        </w:rPr>
        <w:t>2</w:t>
      </w:r>
      <w:r w:rsidR="00985DB2">
        <w:rPr>
          <w:rFonts w:ascii="Cambria" w:eastAsia="Dotum" w:hAnsi="Cambria" w:cs="David"/>
          <w:b/>
          <w:bCs/>
          <w:sz w:val="20"/>
          <w:szCs w:val="20"/>
          <w:lang w:val="fr-FR"/>
        </w:rPr>
        <w:t>8</w:t>
      </w:r>
      <w:r w:rsidRPr="00484E64">
        <w:rPr>
          <w:rFonts w:ascii="Cambria" w:eastAsia="Dotum" w:hAnsi="Cambria" w:cs="David"/>
          <w:b/>
          <w:bCs/>
          <w:sz w:val="20"/>
          <w:szCs w:val="20"/>
          <w:lang w:val="fr-FR"/>
        </w:rPr>
        <w:t xml:space="preserve"> MAR</w:t>
      </w:r>
      <w:r w:rsidR="00484E64" w:rsidRPr="00484E64">
        <w:rPr>
          <w:rFonts w:ascii="Cambria" w:eastAsia="Dotum" w:hAnsi="Cambria" w:cs="David"/>
          <w:b/>
          <w:bCs/>
          <w:sz w:val="20"/>
          <w:szCs w:val="20"/>
          <w:lang w:val="fr-FR"/>
        </w:rPr>
        <w:t>S</w:t>
      </w:r>
      <w:r w:rsidRPr="00484E64">
        <w:rPr>
          <w:rFonts w:ascii="Cambria" w:eastAsia="Dotum" w:hAnsi="Cambria" w:cs="David"/>
          <w:b/>
          <w:bCs/>
          <w:sz w:val="20"/>
          <w:szCs w:val="20"/>
          <w:lang w:val="fr-FR"/>
        </w:rPr>
        <w:t xml:space="preserve"> </w:t>
      </w:r>
      <w:r w:rsidR="00072820" w:rsidRPr="00484E64">
        <w:rPr>
          <w:rFonts w:ascii="Cambria" w:eastAsia="Dotum" w:hAnsi="Cambria" w:cs="David"/>
          <w:b/>
          <w:bCs/>
          <w:sz w:val="20"/>
          <w:szCs w:val="20"/>
          <w:lang w:val="fr-FR"/>
        </w:rPr>
        <w:t>202</w:t>
      </w:r>
      <w:r w:rsidRPr="00484E64">
        <w:rPr>
          <w:rFonts w:ascii="Cambria" w:eastAsia="Dotum" w:hAnsi="Cambria" w:cs="David"/>
          <w:b/>
          <w:bCs/>
          <w:sz w:val="20"/>
          <w:szCs w:val="20"/>
          <w:lang w:val="fr-FR"/>
        </w:rPr>
        <w:t>5</w:t>
      </w:r>
    </w:p>
    <w:p w14:paraId="5735C85A" w14:textId="43066E06" w:rsidR="00072820" w:rsidRPr="00484E64" w:rsidRDefault="00C12AA0" w:rsidP="00072820">
      <w:pPr>
        <w:jc w:val="center"/>
        <w:rPr>
          <w:rFonts w:ascii="Cambria" w:eastAsia="Dotum" w:hAnsi="Cambria" w:cs="David"/>
          <w:b/>
          <w:bCs/>
          <w:sz w:val="20"/>
          <w:szCs w:val="20"/>
          <w:lang w:val="fr-FR"/>
        </w:rPr>
      </w:pPr>
      <w:r w:rsidRPr="00484E64">
        <w:rPr>
          <w:rFonts w:ascii="Cambria" w:eastAsia="Dotum" w:hAnsi="Cambria" w:cs="David"/>
          <w:b/>
          <w:bCs/>
          <w:sz w:val="20"/>
          <w:szCs w:val="20"/>
          <w:lang w:val="fr-FR"/>
        </w:rPr>
        <w:t xml:space="preserve">LUXEMBOURG </w:t>
      </w:r>
    </w:p>
    <w:p w14:paraId="4553F7DE" w14:textId="77777777" w:rsidR="00072820" w:rsidRPr="00484E64" w:rsidRDefault="00072820" w:rsidP="00072820">
      <w:pPr>
        <w:jc w:val="center"/>
        <w:rPr>
          <w:rFonts w:ascii="Cambria" w:eastAsia="Dotum" w:hAnsi="Cambria" w:cs="David"/>
          <w:b/>
          <w:bCs/>
          <w:sz w:val="20"/>
          <w:szCs w:val="20"/>
          <w:lang w:val="fr-FR"/>
        </w:rPr>
      </w:pPr>
    </w:p>
    <w:p w14:paraId="4158CAF4" w14:textId="77777777" w:rsidR="00072820" w:rsidRPr="00484E64" w:rsidRDefault="00072820" w:rsidP="00072820">
      <w:pPr>
        <w:jc w:val="center"/>
        <w:rPr>
          <w:rFonts w:ascii="Cambria" w:eastAsia="Dotum" w:hAnsi="Cambria" w:cs="David"/>
          <w:b/>
          <w:bCs/>
          <w:sz w:val="18"/>
          <w:szCs w:val="18"/>
          <w:lang w:val="fr-FR"/>
        </w:rPr>
      </w:pPr>
    </w:p>
    <w:p w14:paraId="066EBB2D" w14:textId="414EDD5A" w:rsidR="00072820" w:rsidRPr="00484E64" w:rsidRDefault="00484E64" w:rsidP="00072820">
      <w:pPr>
        <w:spacing w:after="80"/>
        <w:jc w:val="center"/>
        <w:rPr>
          <w:rFonts w:ascii="Cambria" w:eastAsia="Dotum" w:hAnsi="Cambria" w:cs="David"/>
          <w:b/>
          <w:bCs/>
          <w:sz w:val="28"/>
          <w:szCs w:val="28"/>
          <w:lang w:val="fr-FR"/>
        </w:rPr>
      </w:pPr>
      <w:r w:rsidRPr="00484E64">
        <w:rPr>
          <w:rFonts w:ascii="Cambria" w:eastAsia="Dotum" w:hAnsi="Cambria" w:cs="David"/>
          <w:b/>
          <w:bCs/>
          <w:sz w:val="28"/>
          <w:szCs w:val="28"/>
          <w:lang w:val="fr-FR"/>
        </w:rPr>
        <w:t>Thème </w:t>
      </w:r>
      <w:r w:rsidR="00C12AA0" w:rsidRPr="00484E64">
        <w:rPr>
          <w:rFonts w:ascii="Cambria" w:eastAsia="Dotum" w:hAnsi="Cambria" w:cs="David"/>
          <w:b/>
          <w:bCs/>
          <w:sz w:val="28"/>
          <w:szCs w:val="28"/>
          <w:lang w:val="fr-FR"/>
        </w:rPr>
        <w:t>2</w:t>
      </w:r>
      <w:r w:rsidRPr="00484E64">
        <w:rPr>
          <w:rFonts w:ascii="Cambria" w:eastAsia="Dotum" w:hAnsi="Cambria" w:cs="David"/>
          <w:b/>
          <w:bCs/>
          <w:sz w:val="28"/>
          <w:szCs w:val="28"/>
          <w:lang w:val="fr-FR"/>
        </w:rPr>
        <w:t> </w:t>
      </w:r>
      <w:r w:rsidR="00C12AA0" w:rsidRPr="00484E64">
        <w:rPr>
          <w:rFonts w:ascii="Cambria" w:eastAsia="Dotum" w:hAnsi="Cambria" w:cs="David"/>
          <w:b/>
          <w:bCs/>
          <w:sz w:val="28"/>
          <w:szCs w:val="28"/>
          <w:lang w:val="fr-FR"/>
        </w:rPr>
        <w:t xml:space="preserve">: </w:t>
      </w:r>
      <w:bookmarkStart w:id="0" w:name="_Hlk179033722"/>
      <w:r>
        <w:rPr>
          <w:rFonts w:ascii="Cambria" w:eastAsia="Dotum" w:hAnsi="Cambria" w:cs="David"/>
          <w:b/>
          <w:bCs/>
          <w:sz w:val="28"/>
          <w:szCs w:val="28"/>
          <w:lang w:val="fr-FR"/>
        </w:rPr>
        <w:t>« </w:t>
      </w:r>
      <w:r w:rsidR="00C12AA0" w:rsidRPr="00484E64">
        <w:rPr>
          <w:rFonts w:ascii="Cambria" w:eastAsia="Dotum" w:hAnsi="Cambria" w:cs="David"/>
          <w:b/>
          <w:bCs/>
          <w:sz w:val="28"/>
          <w:szCs w:val="28"/>
          <w:lang w:val="fr-FR"/>
        </w:rPr>
        <w:t xml:space="preserve">Supervision </w:t>
      </w:r>
      <w:r>
        <w:rPr>
          <w:rFonts w:ascii="Cambria" w:eastAsia="Dotum" w:hAnsi="Cambria" w:cs="David"/>
          <w:b/>
          <w:bCs/>
          <w:sz w:val="28"/>
          <w:szCs w:val="28"/>
          <w:lang w:val="fr-FR"/>
        </w:rPr>
        <w:t>du</w:t>
      </w:r>
      <w:r w:rsidR="00C12AA0" w:rsidRPr="00484E64">
        <w:rPr>
          <w:rFonts w:ascii="Cambria" w:eastAsia="Dotum" w:hAnsi="Cambria" w:cs="David"/>
          <w:b/>
          <w:bCs/>
          <w:sz w:val="28"/>
          <w:szCs w:val="28"/>
          <w:lang w:val="fr-FR"/>
        </w:rPr>
        <w:t xml:space="preserve"> </w:t>
      </w:r>
      <w:bookmarkEnd w:id="0"/>
      <w:r>
        <w:rPr>
          <w:rFonts w:ascii="Cambria" w:eastAsia="Dotum" w:hAnsi="Cambria" w:cs="David"/>
          <w:b/>
          <w:bCs/>
          <w:sz w:val="28"/>
          <w:szCs w:val="28"/>
          <w:lang w:val="fr-FR"/>
        </w:rPr>
        <w:t>traitement judiciaire des données personnelles dans le cadre du RGPD »</w:t>
      </w:r>
    </w:p>
    <w:p w14:paraId="610F5A3A" w14:textId="77777777" w:rsidR="00072820" w:rsidRPr="00484E64" w:rsidRDefault="00072820" w:rsidP="00072820">
      <w:pPr>
        <w:spacing w:after="80"/>
        <w:jc w:val="center"/>
        <w:rPr>
          <w:rFonts w:ascii="Cambria" w:eastAsia="Dotum" w:hAnsi="Cambria" w:cs="David"/>
          <w:b/>
          <w:bCs/>
          <w:lang w:val="fr-FR"/>
        </w:rPr>
      </w:pPr>
    </w:p>
    <w:p w14:paraId="25055BB5" w14:textId="712D6B98" w:rsidR="00072820" w:rsidRPr="00484E64" w:rsidRDefault="00072820" w:rsidP="00072820">
      <w:pPr>
        <w:spacing w:after="80"/>
        <w:jc w:val="center"/>
        <w:rPr>
          <w:rFonts w:ascii="Cambria" w:eastAsia="Dotum" w:hAnsi="Cambria" w:cs="David"/>
          <w:b/>
          <w:bCs/>
          <w:lang w:val="fr-FR"/>
        </w:rPr>
      </w:pPr>
      <w:r w:rsidRPr="00484E64">
        <w:rPr>
          <w:rFonts w:ascii="Cambria" w:eastAsia="Dotum" w:hAnsi="Cambria" w:cs="David"/>
          <w:b/>
          <w:bCs/>
          <w:lang w:val="fr-FR"/>
        </w:rPr>
        <w:t>QUESTIONNAIRE</w:t>
      </w:r>
    </w:p>
    <w:p w14:paraId="7DD30BA2" w14:textId="77777777" w:rsidR="00072820" w:rsidRPr="00484E64" w:rsidRDefault="00072820" w:rsidP="00072820">
      <w:pPr>
        <w:spacing w:after="80"/>
        <w:jc w:val="center"/>
        <w:rPr>
          <w:rFonts w:ascii="Cambria" w:eastAsia="Dotum" w:hAnsi="Cambria" w:cs="David"/>
          <w:b/>
          <w:bCs/>
          <w:lang w:val="fr-FR"/>
        </w:rPr>
      </w:pPr>
    </w:p>
    <w:p w14:paraId="756D757C" w14:textId="77777777" w:rsidR="00FC7FDF" w:rsidRPr="00484E64" w:rsidRDefault="00FC7FDF">
      <w:pPr>
        <w:rPr>
          <w:lang w:val="fr-FR"/>
        </w:rPr>
      </w:pPr>
    </w:p>
    <w:p w14:paraId="03411CEC" w14:textId="77777777" w:rsidR="00374FCA" w:rsidRPr="00484E64" w:rsidRDefault="007E7892" w:rsidP="00E57354">
      <w:pPr>
        <w:pStyle w:val="ListParagraph"/>
        <w:numPr>
          <w:ilvl w:val="0"/>
          <w:numId w:val="1"/>
        </w:numPr>
        <w:rPr>
          <w:b/>
          <w:i/>
          <w:iCs/>
          <w:lang w:val="fr-FR"/>
        </w:rPr>
      </w:pPr>
      <w:r w:rsidRPr="00484E64">
        <w:rPr>
          <w:b/>
          <w:i/>
          <w:iCs/>
          <w:lang w:val="fr-FR"/>
        </w:rPr>
        <w:t>Introduction</w:t>
      </w:r>
    </w:p>
    <w:p w14:paraId="73FF3B69" w14:textId="77777777" w:rsidR="00374FCA" w:rsidRPr="00484E64" w:rsidRDefault="00374FCA">
      <w:pPr>
        <w:rPr>
          <w:i/>
          <w:iCs/>
          <w:lang w:val="fr-FR"/>
        </w:rPr>
      </w:pPr>
    </w:p>
    <w:p w14:paraId="17DA3DE3" w14:textId="4DE89537" w:rsidR="00530705" w:rsidRPr="00484E64" w:rsidRDefault="00D52382" w:rsidP="00C12AA0">
      <w:pPr>
        <w:pStyle w:val="ListParagraph"/>
        <w:numPr>
          <w:ilvl w:val="0"/>
          <w:numId w:val="2"/>
        </w:numPr>
        <w:contextualSpacing w:val="0"/>
        <w:rPr>
          <w:rFonts w:eastAsia="Times New Roman"/>
          <w:lang w:val="fr-FR"/>
        </w:rPr>
      </w:pPr>
      <w:r>
        <w:rPr>
          <w:lang w:val="fr-FR"/>
        </w:rPr>
        <w:t xml:space="preserve">Le travail des </w:t>
      </w:r>
      <w:r w:rsidR="00A85773">
        <w:rPr>
          <w:lang w:val="fr-FR"/>
        </w:rPr>
        <w:t>juridictions</w:t>
      </w:r>
      <w:r>
        <w:rPr>
          <w:lang w:val="fr-FR"/>
        </w:rPr>
        <w:t xml:space="preserve"> est inséparable du traitement de données personnelles. Les données personnelles des parties, des témoins, des experts, des juges, des greffiers, des procureurs généraux, des avocats, etc., peuvent être traitées par les </w:t>
      </w:r>
      <w:r w:rsidR="00705ADD">
        <w:rPr>
          <w:lang w:val="fr-FR"/>
        </w:rPr>
        <w:t>ju</w:t>
      </w:r>
      <w:r w:rsidR="00882C51">
        <w:rPr>
          <w:lang w:val="fr-FR"/>
        </w:rPr>
        <w:t>ge</w:t>
      </w:r>
      <w:r w:rsidR="00705ADD">
        <w:rPr>
          <w:lang w:val="fr-FR"/>
        </w:rPr>
        <w:t xml:space="preserve">s </w:t>
      </w:r>
      <w:r w:rsidR="00882C51">
        <w:rPr>
          <w:lang w:val="fr-FR"/>
        </w:rPr>
        <w:t>ainsi que</w:t>
      </w:r>
      <w:r w:rsidR="00705ADD">
        <w:rPr>
          <w:lang w:val="fr-FR"/>
        </w:rPr>
        <w:t xml:space="preserve"> </w:t>
      </w:r>
      <w:r w:rsidR="00F949DA">
        <w:rPr>
          <w:lang w:val="fr-FR"/>
        </w:rPr>
        <w:t xml:space="preserve">par </w:t>
      </w:r>
      <w:r w:rsidR="00882C51">
        <w:rPr>
          <w:lang w:val="fr-FR"/>
        </w:rPr>
        <w:t xml:space="preserve">l’administration </w:t>
      </w:r>
      <w:r>
        <w:rPr>
          <w:lang w:val="fr-FR"/>
        </w:rPr>
        <w:t xml:space="preserve">judiciaire lors de la conduite des procédures, de la </w:t>
      </w:r>
      <w:r w:rsidR="00460C65">
        <w:rPr>
          <w:lang w:val="fr-FR"/>
        </w:rPr>
        <w:t xml:space="preserve">prise </w:t>
      </w:r>
      <w:r>
        <w:rPr>
          <w:lang w:val="fr-FR"/>
        </w:rPr>
        <w:t xml:space="preserve">de décisions sur les affaires, de la rédaction de jugements et de décisions, ainsi qu’à </w:t>
      </w:r>
      <w:proofErr w:type="gramStart"/>
      <w:r>
        <w:rPr>
          <w:lang w:val="fr-FR"/>
        </w:rPr>
        <w:t>l’occasion</w:t>
      </w:r>
      <w:proofErr w:type="gramEnd"/>
      <w:r>
        <w:rPr>
          <w:lang w:val="fr-FR"/>
        </w:rPr>
        <w:t xml:space="preserve"> des publications.</w:t>
      </w:r>
    </w:p>
    <w:p w14:paraId="11FAC33B" w14:textId="77777777" w:rsidR="003C695D" w:rsidRPr="00484E64" w:rsidRDefault="003C695D" w:rsidP="005A0610">
      <w:pPr>
        <w:rPr>
          <w:rFonts w:eastAsia="Times New Roman"/>
          <w:lang w:val="fr-FR"/>
        </w:rPr>
      </w:pPr>
    </w:p>
    <w:p w14:paraId="168A6B54" w14:textId="606DFA05" w:rsidR="00C12AA0" w:rsidRPr="00484E64" w:rsidRDefault="00D52382" w:rsidP="00C12AA0">
      <w:pPr>
        <w:pStyle w:val="ListParagraph"/>
        <w:numPr>
          <w:ilvl w:val="0"/>
          <w:numId w:val="2"/>
        </w:numPr>
        <w:spacing w:after="240"/>
        <w:rPr>
          <w:lang w:val="fr-FR"/>
        </w:rPr>
      </w:pPr>
      <w:r>
        <w:rPr>
          <w:lang w:val="fr-FR"/>
        </w:rPr>
        <w:t xml:space="preserve">Le Règlement général sur la protection des données </w:t>
      </w:r>
      <w:r w:rsidR="00C12AA0" w:rsidRPr="00484E64">
        <w:rPr>
          <w:lang w:val="fr-FR"/>
        </w:rPr>
        <w:t>(</w:t>
      </w:r>
      <w:r>
        <w:rPr>
          <w:lang w:val="fr-FR"/>
        </w:rPr>
        <w:t>Règlement</w:t>
      </w:r>
      <w:r w:rsidR="00C12AA0" w:rsidRPr="00484E64">
        <w:rPr>
          <w:lang w:val="fr-FR"/>
        </w:rPr>
        <w:t xml:space="preserve"> (EU) 2016/679) </w:t>
      </w:r>
      <w:r>
        <w:rPr>
          <w:lang w:val="fr-FR"/>
        </w:rPr>
        <w:t>déclare, au</w:t>
      </w:r>
      <w:r w:rsidR="00C95064">
        <w:rPr>
          <w:lang w:val="fr-FR"/>
        </w:rPr>
        <w:t xml:space="preserve"> considérant </w:t>
      </w:r>
      <w:r w:rsidR="00C12AA0" w:rsidRPr="00484E64">
        <w:rPr>
          <w:lang w:val="fr-FR"/>
        </w:rPr>
        <w:t>20</w:t>
      </w:r>
      <w:r w:rsidR="00C95064">
        <w:rPr>
          <w:lang w:val="fr-FR"/>
        </w:rPr>
        <w:t xml:space="preserve"> </w:t>
      </w:r>
      <w:r w:rsidR="00C12AA0" w:rsidRPr="00484E64">
        <w:rPr>
          <w:lang w:val="fr-FR"/>
        </w:rPr>
        <w:t xml:space="preserve">: </w:t>
      </w:r>
      <w:r w:rsidR="00C12AA0" w:rsidRPr="00484E64">
        <w:rPr>
          <w:lang w:val="fr-FR"/>
        </w:rPr>
        <w:br/>
      </w:r>
      <w:r>
        <w:rPr>
          <w:lang w:val="fr-FR"/>
        </w:rPr>
        <w:t>« </w:t>
      </w:r>
      <w:r w:rsidRPr="00D52382">
        <w:rPr>
          <w:lang w:val="fr-FR"/>
        </w:rPr>
        <w:t>Bien que le présent règlement s</w:t>
      </w:r>
      <w:r w:rsidR="00A85773">
        <w:rPr>
          <w:lang w:val="fr-FR"/>
        </w:rPr>
        <w:t>’</w:t>
      </w:r>
      <w:r w:rsidRPr="00D52382">
        <w:rPr>
          <w:lang w:val="fr-FR"/>
        </w:rPr>
        <w:t>applique, entre autres, aux activités des juridictions et autres autorités judiciaires, le droit de l</w:t>
      </w:r>
      <w:r w:rsidR="00A85773">
        <w:rPr>
          <w:lang w:val="fr-FR"/>
        </w:rPr>
        <w:t>’</w:t>
      </w:r>
      <w:r w:rsidRPr="00D52382">
        <w:rPr>
          <w:lang w:val="fr-FR"/>
        </w:rPr>
        <w:t>Union ou le droit des États membres pourrait préciser les opérations et procédures de traitement en ce qui concerne le traitement des données à caractère personnel par les juridictions et autres autorités judiciaires. La compétence des autorités de contrôle ne devrait pas s</w:t>
      </w:r>
      <w:r w:rsidR="00A85773">
        <w:rPr>
          <w:lang w:val="fr-FR"/>
        </w:rPr>
        <w:t>’</w:t>
      </w:r>
      <w:r w:rsidRPr="00D52382">
        <w:rPr>
          <w:lang w:val="fr-FR"/>
        </w:rPr>
        <w:t>étendre au traitement de données à caractère personnel effectué par les juridictions dans l'exercice de leur fonction juridictionnelle, afin de préserver l</w:t>
      </w:r>
      <w:r w:rsidR="00A85773">
        <w:rPr>
          <w:lang w:val="fr-FR"/>
        </w:rPr>
        <w:t>’</w:t>
      </w:r>
      <w:r w:rsidRPr="00D52382">
        <w:rPr>
          <w:lang w:val="fr-FR"/>
        </w:rPr>
        <w:t>indépendance du pouvoir judiciaire dans l</w:t>
      </w:r>
      <w:r w:rsidR="00A85773">
        <w:rPr>
          <w:lang w:val="fr-FR"/>
        </w:rPr>
        <w:t>’</w:t>
      </w:r>
      <w:r w:rsidRPr="00D52382">
        <w:rPr>
          <w:lang w:val="fr-FR"/>
        </w:rPr>
        <w:t>accomplissement de ses missions judiciaires, y compris lorsqu</w:t>
      </w:r>
      <w:r w:rsidR="00A85773">
        <w:rPr>
          <w:lang w:val="fr-FR"/>
        </w:rPr>
        <w:t>’</w:t>
      </w:r>
      <w:r w:rsidRPr="00D52382">
        <w:rPr>
          <w:lang w:val="fr-FR"/>
        </w:rPr>
        <w:t>il prend des décisions. Il devrait être possible de confier le contrôle de ces opérations de traitement de données à des organes spécifiques au sein de l</w:t>
      </w:r>
      <w:r w:rsidR="00A85773">
        <w:rPr>
          <w:lang w:val="fr-FR"/>
        </w:rPr>
        <w:t>’</w:t>
      </w:r>
      <w:r w:rsidRPr="00D52382">
        <w:rPr>
          <w:lang w:val="fr-FR"/>
        </w:rPr>
        <w:t xml:space="preserve">appareil judiciaire de l'État membre, qui devraient notamment garantir le respect des règles du présent règlement, sensibiliser davantage les membres du </w:t>
      </w:r>
      <w:r w:rsidRPr="00D52382">
        <w:rPr>
          <w:lang w:val="fr-FR"/>
        </w:rPr>
        <w:lastRenderedPageBreak/>
        <w:t>pouvoir judiciaire aux obligations qui leur incombent en vertu du présent règlement et traiter les réclamations concernant ces opérations de traitement de données.</w:t>
      </w:r>
      <w:r>
        <w:rPr>
          <w:lang w:val="fr-FR"/>
        </w:rPr>
        <w:t> »</w:t>
      </w:r>
    </w:p>
    <w:p w14:paraId="4686E43B" w14:textId="77777777" w:rsidR="005A7E1E" w:rsidRPr="00484E64" w:rsidRDefault="005A7E1E" w:rsidP="005A7E1E">
      <w:pPr>
        <w:pStyle w:val="ListParagraph"/>
        <w:rPr>
          <w:lang w:val="fr-FR"/>
        </w:rPr>
      </w:pPr>
    </w:p>
    <w:p w14:paraId="19896225" w14:textId="66A397C6" w:rsidR="005A7E1E" w:rsidRPr="00484E64" w:rsidRDefault="00D52382" w:rsidP="005A7E1E">
      <w:pPr>
        <w:pStyle w:val="ListParagraph"/>
        <w:numPr>
          <w:ilvl w:val="0"/>
          <w:numId w:val="2"/>
        </w:numPr>
        <w:spacing w:after="240"/>
        <w:rPr>
          <w:lang w:val="fr-FR"/>
        </w:rPr>
      </w:pPr>
      <w:r>
        <w:rPr>
          <w:lang w:val="fr-FR"/>
        </w:rPr>
        <w:t>L’a</w:t>
      </w:r>
      <w:r w:rsidR="005A7E1E" w:rsidRPr="00484E64">
        <w:rPr>
          <w:lang w:val="fr-FR"/>
        </w:rPr>
        <w:t>rticle</w:t>
      </w:r>
      <w:r>
        <w:rPr>
          <w:lang w:val="fr-FR"/>
        </w:rPr>
        <w:t> </w:t>
      </w:r>
      <w:r w:rsidR="005A7E1E" w:rsidRPr="00484E64">
        <w:rPr>
          <w:lang w:val="fr-FR"/>
        </w:rPr>
        <w:t>55</w:t>
      </w:r>
      <w:r>
        <w:rPr>
          <w:lang w:val="fr-FR"/>
        </w:rPr>
        <w:t>,</w:t>
      </w:r>
      <w:r w:rsidR="005A7E1E" w:rsidRPr="00484E64">
        <w:rPr>
          <w:lang w:val="fr-FR"/>
        </w:rPr>
        <w:t xml:space="preserve"> </w:t>
      </w:r>
      <w:r>
        <w:rPr>
          <w:lang w:val="fr-FR"/>
        </w:rPr>
        <w:t>p</w:t>
      </w:r>
      <w:r w:rsidR="005A7E1E" w:rsidRPr="00484E64">
        <w:rPr>
          <w:lang w:val="fr-FR"/>
        </w:rPr>
        <w:t>ara</w:t>
      </w:r>
      <w:r>
        <w:rPr>
          <w:lang w:val="fr-FR"/>
        </w:rPr>
        <w:t>graphe </w:t>
      </w:r>
      <w:r w:rsidR="005A7E1E" w:rsidRPr="00484E64">
        <w:rPr>
          <w:lang w:val="fr-FR"/>
        </w:rPr>
        <w:t xml:space="preserve">3 </w:t>
      </w:r>
      <w:r>
        <w:rPr>
          <w:lang w:val="fr-FR"/>
        </w:rPr>
        <w:t>du RGPD précise que l</w:t>
      </w:r>
      <w:r w:rsidRPr="00D52382">
        <w:rPr>
          <w:lang w:val="fr-FR"/>
        </w:rPr>
        <w:t>es autorités de contrôle ne sont pas compétentes pour contrôler les opérations de traitement effectuées par les juridictions dans l</w:t>
      </w:r>
      <w:r w:rsidR="00705ADD">
        <w:rPr>
          <w:lang w:val="fr-FR"/>
        </w:rPr>
        <w:t>’</w:t>
      </w:r>
      <w:r w:rsidRPr="00D52382">
        <w:rPr>
          <w:lang w:val="fr-FR"/>
        </w:rPr>
        <w:t>exercice de leur fonction juridictionnelle</w:t>
      </w:r>
      <w:r>
        <w:rPr>
          <w:lang w:val="fr-FR"/>
        </w:rPr>
        <w:t>.</w:t>
      </w:r>
    </w:p>
    <w:p w14:paraId="21D554AA" w14:textId="77777777" w:rsidR="005A0610" w:rsidRPr="00484E64" w:rsidRDefault="005A0610" w:rsidP="005A0610">
      <w:pPr>
        <w:pStyle w:val="ListParagraph"/>
        <w:rPr>
          <w:lang w:val="fr-FR"/>
        </w:rPr>
      </w:pPr>
    </w:p>
    <w:p w14:paraId="1D10550C" w14:textId="5E8D703F" w:rsidR="002766B4" w:rsidRPr="00484E64" w:rsidRDefault="00AC277A" w:rsidP="005A7E1E">
      <w:pPr>
        <w:pStyle w:val="ListParagraph"/>
        <w:numPr>
          <w:ilvl w:val="0"/>
          <w:numId w:val="2"/>
        </w:numPr>
        <w:spacing w:after="240"/>
        <w:rPr>
          <w:lang w:val="fr-FR"/>
        </w:rPr>
      </w:pPr>
      <w:r>
        <w:rPr>
          <w:rFonts w:eastAsia="Times New Roman"/>
          <w:iCs/>
          <w:lang w:val="fr-FR"/>
        </w:rPr>
        <w:t xml:space="preserve">Pour aborder </w:t>
      </w:r>
      <w:r w:rsidR="00D52382">
        <w:rPr>
          <w:rFonts w:eastAsia="Times New Roman"/>
          <w:iCs/>
          <w:lang w:val="fr-FR"/>
        </w:rPr>
        <w:t xml:space="preserve">ce thème </w:t>
      </w:r>
      <w:r>
        <w:rPr>
          <w:rFonts w:eastAsia="Times New Roman"/>
          <w:iCs/>
          <w:lang w:val="fr-FR"/>
        </w:rPr>
        <w:t xml:space="preserve">l’accent est mis sur </w:t>
      </w:r>
      <w:r w:rsidR="00D52382">
        <w:rPr>
          <w:rFonts w:eastAsia="Times New Roman"/>
          <w:iCs/>
          <w:lang w:val="fr-FR"/>
        </w:rPr>
        <w:t xml:space="preserve">le rôle de contrôle </w:t>
      </w:r>
      <w:r w:rsidR="00A85773">
        <w:rPr>
          <w:rFonts w:eastAsia="Times New Roman"/>
          <w:iCs/>
          <w:lang w:val="fr-FR"/>
        </w:rPr>
        <w:t xml:space="preserve">au regard du </w:t>
      </w:r>
      <w:r w:rsidR="00D52382">
        <w:rPr>
          <w:rFonts w:eastAsia="Times New Roman"/>
          <w:iCs/>
          <w:lang w:val="fr-FR"/>
        </w:rPr>
        <w:t xml:space="preserve">RGPD </w:t>
      </w:r>
      <w:r w:rsidR="00A85773">
        <w:rPr>
          <w:rFonts w:eastAsia="Times New Roman"/>
          <w:iCs/>
          <w:lang w:val="fr-FR"/>
        </w:rPr>
        <w:t xml:space="preserve">assumé par des </w:t>
      </w:r>
      <w:r w:rsidR="00D52382">
        <w:rPr>
          <w:rFonts w:eastAsia="Times New Roman"/>
          <w:iCs/>
          <w:lang w:val="fr-FR"/>
        </w:rPr>
        <w:t xml:space="preserve">autorités spécifiques au sein du système judiciaire des États membres en ce qui concerne </w:t>
      </w:r>
      <w:r>
        <w:rPr>
          <w:rFonts w:eastAsia="Times New Roman"/>
          <w:iCs/>
          <w:lang w:val="fr-FR"/>
        </w:rPr>
        <w:t>le</w:t>
      </w:r>
      <w:r w:rsidR="00C216D8">
        <w:rPr>
          <w:rFonts w:eastAsia="Times New Roman"/>
          <w:iCs/>
          <w:lang w:val="fr-FR"/>
        </w:rPr>
        <w:t>s opérations de</w:t>
      </w:r>
      <w:r>
        <w:rPr>
          <w:rFonts w:eastAsia="Times New Roman"/>
          <w:iCs/>
          <w:lang w:val="fr-FR"/>
        </w:rPr>
        <w:t xml:space="preserve"> traitement effectué</w:t>
      </w:r>
      <w:r w:rsidR="00C216D8">
        <w:rPr>
          <w:rFonts w:eastAsia="Times New Roman"/>
          <w:iCs/>
          <w:lang w:val="fr-FR"/>
        </w:rPr>
        <w:t>es</w:t>
      </w:r>
      <w:r>
        <w:rPr>
          <w:rFonts w:eastAsia="Times New Roman"/>
          <w:iCs/>
          <w:lang w:val="fr-FR"/>
        </w:rPr>
        <w:t xml:space="preserve"> par les </w:t>
      </w:r>
      <w:r w:rsidR="00D52382">
        <w:rPr>
          <w:rFonts w:eastAsia="Times New Roman"/>
          <w:iCs/>
          <w:lang w:val="fr-FR"/>
        </w:rPr>
        <w:t>juridictions dans l’exercice de leur fonction juridictionnelle</w:t>
      </w:r>
      <w:r w:rsidR="008F6CC1">
        <w:rPr>
          <w:rFonts w:eastAsia="Times New Roman"/>
          <w:iCs/>
          <w:lang w:val="fr-FR"/>
        </w:rPr>
        <w:t xml:space="preserve">, ci-après dénommé </w:t>
      </w:r>
      <w:r w:rsidR="00A85773">
        <w:rPr>
          <w:rFonts w:eastAsia="Times New Roman"/>
          <w:iCs/>
          <w:lang w:val="fr-FR"/>
        </w:rPr>
        <w:t>« </w:t>
      </w:r>
      <w:r w:rsidR="00D52382">
        <w:rPr>
          <w:rFonts w:eastAsia="Times New Roman"/>
          <w:iCs/>
          <w:lang w:val="fr-FR"/>
        </w:rPr>
        <w:t>contrôle RGPD</w:t>
      </w:r>
      <w:r w:rsidR="00A85773">
        <w:rPr>
          <w:rFonts w:eastAsia="Times New Roman"/>
          <w:iCs/>
          <w:lang w:val="fr-FR"/>
        </w:rPr>
        <w:t> </w:t>
      </w:r>
      <w:r w:rsidR="00D52382">
        <w:rPr>
          <w:rFonts w:eastAsia="Times New Roman"/>
          <w:iCs/>
          <w:lang w:val="fr-FR"/>
        </w:rPr>
        <w:t>du traitement juridictionnel des données personnelles</w:t>
      </w:r>
      <w:r w:rsidR="00B55247">
        <w:rPr>
          <w:rFonts w:eastAsia="Times New Roman"/>
          <w:iCs/>
          <w:lang w:val="fr-FR"/>
        </w:rPr>
        <w:t xml:space="preserve"> </w:t>
      </w:r>
      <w:r w:rsidR="008F6CC1">
        <w:rPr>
          <w:rFonts w:eastAsia="Times New Roman"/>
          <w:iCs/>
          <w:lang w:val="fr-FR"/>
        </w:rPr>
        <w:t>»</w:t>
      </w:r>
      <w:r w:rsidR="00D52382">
        <w:rPr>
          <w:rFonts w:eastAsia="Times New Roman"/>
          <w:iCs/>
          <w:lang w:val="fr-FR"/>
        </w:rPr>
        <w:t>.</w:t>
      </w:r>
      <w:r w:rsidR="005A7E1E" w:rsidRPr="00484E64">
        <w:rPr>
          <w:rFonts w:eastAsia="Times New Roman"/>
          <w:lang w:val="fr-FR"/>
        </w:rPr>
        <w:br/>
      </w:r>
    </w:p>
    <w:p w14:paraId="55F21AAB" w14:textId="2671D03A" w:rsidR="00C12AA0" w:rsidRPr="00484E64" w:rsidRDefault="00D52382" w:rsidP="002766B4">
      <w:pPr>
        <w:pStyle w:val="ListParagraph"/>
        <w:numPr>
          <w:ilvl w:val="0"/>
          <w:numId w:val="2"/>
        </w:numPr>
        <w:spacing w:after="240"/>
        <w:rPr>
          <w:lang w:val="fr-FR"/>
        </w:rPr>
      </w:pPr>
      <w:r>
        <w:rPr>
          <w:lang w:val="fr-FR"/>
        </w:rPr>
        <w:t>Il n’existe jusqu’à présent qu’une décision de la CJUE relative à ce rôle</w:t>
      </w:r>
      <w:r w:rsidR="00C12AA0" w:rsidRPr="00484E64">
        <w:rPr>
          <w:lang w:val="fr-FR"/>
        </w:rPr>
        <w:t xml:space="preserve"> (</w:t>
      </w:r>
      <w:hyperlink r:id="rId9" w:history="1">
        <w:proofErr w:type="gramStart"/>
        <w:r w:rsidR="00C12AA0" w:rsidRPr="00484E64">
          <w:rPr>
            <w:rStyle w:val="Hyperlink"/>
            <w:lang w:val="fr-FR"/>
          </w:rPr>
          <w:t>ECLI:</w:t>
        </w:r>
        <w:proofErr w:type="gramEnd"/>
        <w:r w:rsidR="00C12AA0" w:rsidRPr="00484E64">
          <w:rPr>
            <w:rStyle w:val="Hyperlink"/>
            <w:lang w:val="fr-FR"/>
          </w:rPr>
          <w:t>EU:C:2022:216</w:t>
        </w:r>
      </w:hyperlink>
      <w:r w:rsidR="00C12AA0" w:rsidRPr="00484E64">
        <w:rPr>
          <w:lang w:val="fr-FR"/>
        </w:rPr>
        <w:t xml:space="preserve">). </w:t>
      </w:r>
      <w:r>
        <w:rPr>
          <w:lang w:val="fr-FR"/>
        </w:rPr>
        <w:t xml:space="preserve">Les Conclusions de l’Avocat général </w:t>
      </w:r>
      <w:proofErr w:type="spellStart"/>
      <w:r>
        <w:rPr>
          <w:lang w:val="fr-FR"/>
        </w:rPr>
        <w:t>Bobek</w:t>
      </w:r>
      <w:proofErr w:type="spellEnd"/>
      <w:r w:rsidR="00C12AA0" w:rsidRPr="00484E64">
        <w:rPr>
          <w:lang w:val="fr-FR"/>
        </w:rPr>
        <w:t xml:space="preserve"> (</w:t>
      </w:r>
      <w:hyperlink r:id="rId10" w:history="1">
        <w:r w:rsidR="00C12AA0" w:rsidRPr="00484E64">
          <w:rPr>
            <w:rStyle w:val="Hyperlink"/>
            <w:lang w:val="fr-FR"/>
          </w:rPr>
          <w:t>ECLI:EU:C:2021:822</w:t>
        </w:r>
      </w:hyperlink>
      <w:r w:rsidR="00C12AA0" w:rsidRPr="00484E64">
        <w:rPr>
          <w:lang w:val="fr-FR"/>
        </w:rPr>
        <w:t xml:space="preserve">) </w:t>
      </w:r>
      <w:r>
        <w:rPr>
          <w:lang w:val="fr-FR"/>
        </w:rPr>
        <w:t>mentionnent une</w:t>
      </w:r>
      <w:r w:rsidR="00C12AA0" w:rsidRPr="00484E64">
        <w:rPr>
          <w:lang w:val="fr-FR"/>
        </w:rPr>
        <w:t xml:space="preserve"> </w:t>
      </w:r>
      <w:hyperlink r:id="rId11" w:history="1">
        <w:r w:rsidR="00C12AA0" w:rsidRPr="00484E64">
          <w:rPr>
            <w:rStyle w:val="Hyperlink"/>
            <w:lang w:val="fr-FR"/>
          </w:rPr>
          <w:t>not</w:t>
        </w:r>
        <w:r>
          <w:rPr>
            <w:rStyle w:val="Hyperlink"/>
            <w:lang w:val="fr-FR"/>
          </w:rPr>
          <w:t>e de recherch</w:t>
        </w:r>
        <w:r w:rsidR="00C12AA0" w:rsidRPr="00484E64">
          <w:rPr>
            <w:rStyle w:val="Hyperlink"/>
            <w:lang w:val="fr-FR"/>
          </w:rPr>
          <w:t>e</w:t>
        </w:r>
      </w:hyperlink>
      <w:r w:rsidR="00C12AA0" w:rsidRPr="00484E64">
        <w:rPr>
          <w:lang w:val="fr-FR"/>
        </w:rPr>
        <w:t xml:space="preserve"> </w:t>
      </w:r>
      <w:r>
        <w:rPr>
          <w:lang w:val="fr-FR"/>
        </w:rPr>
        <w:t>de juillet </w:t>
      </w:r>
      <w:r w:rsidR="00C12AA0" w:rsidRPr="00484E64">
        <w:rPr>
          <w:lang w:val="fr-FR"/>
        </w:rPr>
        <w:t xml:space="preserve">2018 </w:t>
      </w:r>
      <w:r w:rsidR="00705ADD">
        <w:rPr>
          <w:lang w:val="fr-FR"/>
        </w:rPr>
        <w:t>sur</w:t>
      </w:r>
      <w:r>
        <w:rPr>
          <w:lang w:val="fr-FR"/>
        </w:rPr>
        <w:t xml:space="preserve"> le « Contrôle de la conformité des juridictions avec les règles de protection des données personnelles dans l’exercice de leur fonction juridictionnelle ». Cette note de recherche concluait entre autres qu’il semblait que la </w:t>
      </w:r>
      <w:r w:rsidR="00294E17">
        <w:rPr>
          <w:lang w:val="fr-FR"/>
        </w:rPr>
        <w:t xml:space="preserve">grande </w:t>
      </w:r>
      <w:r>
        <w:rPr>
          <w:lang w:val="fr-FR"/>
        </w:rPr>
        <w:t>majorité des États membres satisfassent à l’exigence d’exclu</w:t>
      </w:r>
      <w:r w:rsidR="00294E17">
        <w:rPr>
          <w:lang w:val="fr-FR"/>
        </w:rPr>
        <w:t>re</w:t>
      </w:r>
      <w:r>
        <w:rPr>
          <w:lang w:val="fr-FR"/>
        </w:rPr>
        <w:t xml:space="preserve"> de la compétence de l’autorité</w:t>
      </w:r>
      <w:r w:rsidRPr="00D52382">
        <w:rPr>
          <w:lang w:val="fr-FR"/>
        </w:rPr>
        <w:t xml:space="preserve"> </w:t>
      </w:r>
      <w:r>
        <w:rPr>
          <w:lang w:val="fr-FR"/>
        </w:rPr>
        <w:t>nationale de contrôle le traitement des données personnelles effectué par les juridictions dans l’exercice de leur fonction juridictionnelle, mais que l’établissement d</w:t>
      </w:r>
      <w:r w:rsidR="00E7778E">
        <w:rPr>
          <w:lang w:val="fr-FR"/>
        </w:rPr>
        <w:t>e</w:t>
      </w:r>
      <w:r>
        <w:rPr>
          <w:lang w:val="fr-FR"/>
        </w:rPr>
        <w:t xml:space="preserve"> mécanisme</w:t>
      </w:r>
      <w:r w:rsidR="00E7778E">
        <w:rPr>
          <w:lang w:val="fr-FR"/>
        </w:rPr>
        <w:t>s</w:t>
      </w:r>
      <w:r>
        <w:rPr>
          <w:lang w:val="fr-FR"/>
        </w:rPr>
        <w:t xml:space="preserve"> de contrôle spécifique</w:t>
      </w:r>
      <w:r w:rsidR="00E7778E">
        <w:rPr>
          <w:lang w:val="fr-FR"/>
        </w:rPr>
        <w:t>s</w:t>
      </w:r>
      <w:r>
        <w:rPr>
          <w:lang w:val="fr-FR"/>
        </w:rPr>
        <w:t xml:space="preserve"> soit en partie inachevé.</w:t>
      </w:r>
    </w:p>
    <w:p w14:paraId="0B10FC9E" w14:textId="77777777" w:rsidR="002766B4" w:rsidRPr="00484E64" w:rsidRDefault="002766B4" w:rsidP="002766B4">
      <w:pPr>
        <w:pStyle w:val="ListParagraph"/>
        <w:spacing w:after="240"/>
        <w:rPr>
          <w:lang w:val="fr-FR"/>
        </w:rPr>
      </w:pPr>
    </w:p>
    <w:p w14:paraId="4F74B423" w14:textId="4C50E78E" w:rsidR="00C12AA0" w:rsidRPr="00484E64" w:rsidRDefault="00D52382" w:rsidP="00C12AA0">
      <w:pPr>
        <w:pStyle w:val="ListParagraph"/>
        <w:numPr>
          <w:ilvl w:val="0"/>
          <w:numId w:val="2"/>
        </w:numPr>
        <w:spacing w:after="240"/>
        <w:rPr>
          <w:lang w:val="fr-FR"/>
        </w:rPr>
      </w:pPr>
      <w:r>
        <w:rPr>
          <w:lang w:val="fr-FR"/>
        </w:rPr>
        <w:t>Le Réseau est un cadre pertinent pour échanger sur les développements ultérieurs d</w:t>
      </w:r>
      <w:r w:rsidR="001A3757">
        <w:rPr>
          <w:lang w:val="fr-FR"/>
        </w:rPr>
        <w:t>ans</w:t>
      </w:r>
      <w:r>
        <w:rPr>
          <w:lang w:val="fr-FR"/>
        </w:rPr>
        <w:t xml:space="preserve"> l’organisation de </w:t>
      </w:r>
      <w:r w:rsidR="001A3757">
        <w:rPr>
          <w:lang w:val="fr-FR"/>
        </w:rPr>
        <w:t xml:space="preserve">leur </w:t>
      </w:r>
      <w:r>
        <w:rPr>
          <w:lang w:val="fr-FR"/>
        </w:rPr>
        <w:t xml:space="preserve">établissement et pour diffuser des informations sur les meilleures pratiques, concernant ce rôle de contrôle, dans les juridictions nationales. Un dialogue entre la Cour de justice et le Réseau serait à même de contribuer à clarifier </w:t>
      </w:r>
      <w:r w:rsidR="00705ADD">
        <w:rPr>
          <w:lang w:val="fr-FR"/>
        </w:rPr>
        <w:t>les attentes du</w:t>
      </w:r>
      <w:r w:rsidR="001A3757">
        <w:rPr>
          <w:lang w:val="fr-FR"/>
        </w:rPr>
        <w:t xml:space="preserve"> considérant</w:t>
      </w:r>
      <w:r>
        <w:rPr>
          <w:lang w:val="fr-FR"/>
        </w:rPr>
        <w:t xml:space="preserve"> 20 et </w:t>
      </w:r>
      <w:r w:rsidR="00705ADD">
        <w:rPr>
          <w:lang w:val="fr-FR"/>
        </w:rPr>
        <w:t>de</w:t>
      </w:r>
      <w:r>
        <w:rPr>
          <w:lang w:val="fr-FR"/>
        </w:rPr>
        <w:t xml:space="preserve"> l’Article 55, paragraphe 3, du RGPD. La réunion conjointe du Réseau et de la CJUE prévue pour le 28 mars 2025 à Luxembourg offre une occasion d’explorer ces questions et de partager les expériences et les meilleures pratiques</w:t>
      </w:r>
      <w:r w:rsidR="004E4CC3" w:rsidRPr="00484E64">
        <w:rPr>
          <w:lang w:val="fr-FR"/>
        </w:rPr>
        <w:t>.</w:t>
      </w:r>
    </w:p>
    <w:p w14:paraId="1BF8BFB2" w14:textId="77777777" w:rsidR="002766B4" w:rsidRPr="00484E64" w:rsidRDefault="002766B4" w:rsidP="002766B4">
      <w:pPr>
        <w:pStyle w:val="ListParagraph"/>
        <w:jc w:val="both"/>
        <w:rPr>
          <w:lang w:val="fr-FR"/>
        </w:rPr>
      </w:pPr>
    </w:p>
    <w:p w14:paraId="2E108BFD" w14:textId="2A3721CF" w:rsidR="00377C07" w:rsidRPr="00533FC9" w:rsidRDefault="00D52382" w:rsidP="00533FC9">
      <w:pPr>
        <w:pStyle w:val="ListParagraph"/>
        <w:numPr>
          <w:ilvl w:val="0"/>
          <w:numId w:val="2"/>
        </w:numPr>
        <w:jc w:val="both"/>
        <w:rPr>
          <w:lang w:val="fr-FR"/>
        </w:rPr>
      </w:pPr>
      <w:r>
        <w:rPr>
          <w:lang w:val="fr-FR"/>
        </w:rPr>
        <w:t>Ce</w:t>
      </w:r>
      <w:r w:rsidR="00377C07" w:rsidRPr="00484E64">
        <w:rPr>
          <w:lang w:val="fr-FR"/>
        </w:rPr>
        <w:t xml:space="preserve"> </w:t>
      </w:r>
      <w:r w:rsidR="00C12AA0" w:rsidRPr="00484E64">
        <w:rPr>
          <w:lang w:val="fr-FR"/>
        </w:rPr>
        <w:t>questionnaire</w:t>
      </w:r>
      <w:r>
        <w:rPr>
          <w:lang w:val="fr-FR"/>
        </w:rPr>
        <w:t xml:space="preserve"> vise à réunir des informations en amont de la réunion conjointe afin de préparer un rapport </w:t>
      </w:r>
      <w:r w:rsidR="00B1566C">
        <w:rPr>
          <w:lang w:val="fr-FR"/>
        </w:rPr>
        <w:t>rendant plus visible la pratique actuelle du contrôle RGPD du traitement des données personnelles dans l’exercice de la fonction juridictionnelle au sein des États membres et de l’Union européenne.</w:t>
      </w:r>
      <w:r w:rsidR="00C12AA0" w:rsidRPr="00484E64">
        <w:rPr>
          <w:lang w:val="fr-FR"/>
        </w:rPr>
        <w:t xml:space="preserve"> </w:t>
      </w:r>
      <w:r w:rsidR="00B1566C">
        <w:rPr>
          <w:lang w:val="fr-FR"/>
        </w:rPr>
        <w:t>L’intention est de tenter d’actualiser les informations présentées dans la</w:t>
      </w:r>
      <w:r w:rsidR="00377C07" w:rsidRPr="00484E64">
        <w:rPr>
          <w:lang w:val="fr-FR"/>
        </w:rPr>
        <w:t xml:space="preserve"> </w:t>
      </w:r>
      <w:hyperlink r:id="rId12" w:history="1">
        <w:r w:rsidR="00ED3F5B" w:rsidRPr="00484E64">
          <w:rPr>
            <w:rStyle w:val="Hyperlink"/>
            <w:lang w:val="fr-FR"/>
          </w:rPr>
          <w:t>not</w:t>
        </w:r>
        <w:r w:rsidR="00B1566C">
          <w:rPr>
            <w:rStyle w:val="Hyperlink"/>
            <w:lang w:val="fr-FR"/>
          </w:rPr>
          <w:t>e de recherch</w:t>
        </w:r>
        <w:r w:rsidR="00ED3F5B" w:rsidRPr="00484E64">
          <w:rPr>
            <w:rStyle w:val="Hyperlink"/>
            <w:lang w:val="fr-FR"/>
          </w:rPr>
          <w:t>e</w:t>
        </w:r>
      </w:hyperlink>
      <w:r w:rsidR="00ED3F5B" w:rsidRPr="00484E64">
        <w:rPr>
          <w:lang w:val="fr-FR"/>
        </w:rPr>
        <w:t xml:space="preserve"> </w:t>
      </w:r>
      <w:r w:rsidR="00B1566C">
        <w:rPr>
          <w:lang w:val="fr-FR"/>
        </w:rPr>
        <w:t>de</w:t>
      </w:r>
      <w:r w:rsidR="00ED3F5B" w:rsidRPr="00484E64">
        <w:rPr>
          <w:lang w:val="fr-FR"/>
        </w:rPr>
        <w:t xml:space="preserve"> </w:t>
      </w:r>
      <w:r w:rsidR="00B1566C">
        <w:rPr>
          <w:lang w:val="fr-FR"/>
        </w:rPr>
        <w:t>juillet </w:t>
      </w:r>
      <w:r w:rsidR="00ED3F5B" w:rsidRPr="00484E64">
        <w:rPr>
          <w:lang w:val="fr-FR"/>
        </w:rPr>
        <w:t>2018</w:t>
      </w:r>
      <w:r w:rsidR="00B1566C">
        <w:rPr>
          <w:lang w:val="fr-FR"/>
        </w:rPr>
        <w:t>, mentionnée ci-dessus, sur le « Contrôle de la conformité des juridictions avec les règles de protection des données personnelles dans l’exercice de leur fonction juridictionnelle ».</w:t>
      </w:r>
      <w:r w:rsidR="00ED3F5B" w:rsidRPr="00484E64">
        <w:rPr>
          <w:lang w:val="fr-FR"/>
        </w:rPr>
        <w:t xml:space="preserve"> </w:t>
      </w:r>
      <w:r w:rsidR="00B1566C">
        <w:rPr>
          <w:lang w:val="fr-FR"/>
        </w:rPr>
        <w:t>De plus, le questionnaire entend collecter des informations sur la pratique juridique concernant le contrôle RGPD du traitement des données personnelles dans l’exercice de la fonction juridictionnelle au sein des États membres et de l’Union européenne.</w:t>
      </w:r>
      <w:r w:rsidR="00B1566C" w:rsidRPr="00484E64">
        <w:rPr>
          <w:lang w:val="fr-FR"/>
        </w:rPr>
        <w:t xml:space="preserve"> </w:t>
      </w:r>
      <w:r w:rsidR="00B1566C">
        <w:rPr>
          <w:lang w:val="fr-FR"/>
        </w:rPr>
        <w:t>Enfin</w:t>
      </w:r>
      <w:r w:rsidR="004E4CC3" w:rsidRPr="00484E64">
        <w:rPr>
          <w:lang w:val="fr-FR"/>
        </w:rPr>
        <w:t>,</w:t>
      </w:r>
      <w:r w:rsidR="00ED3F5B" w:rsidRPr="00484E64">
        <w:rPr>
          <w:lang w:val="fr-FR"/>
        </w:rPr>
        <w:t xml:space="preserve"> </w:t>
      </w:r>
      <w:r w:rsidR="00B1566C">
        <w:rPr>
          <w:lang w:val="fr-FR"/>
        </w:rPr>
        <w:t xml:space="preserve">il explorera l’existence éventuelle d’une relation entre ce type de contrôle et le rôle qui </w:t>
      </w:r>
      <w:r w:rsidR="00705ADD">
        <w:rPr>
          <w:lang w:val="fr-FR"/>
        </w:rPr>
        <w:t>pourrait revenir</w:t>
      </w:r>
      <w:r w:rsidR="00B1566C">
        <w:rPr>
          <w:lang w:val="fr-FR"/>
        </w:rPr>
        <w:t xml:space="preserve"> à des autorités de contrôle non </w:t>
      </w:r>
      <w:r w:rsidR="00A85773">
        <w:rPr>
          <w:lang w:val="fr-FR"/>
        </w:rPr>
        <w:t>judiciaires</w:t>
      </w:r>
      <w:r w:rsidR="00B1566C">
        <w:rPr>
          <w:lang w:val="fr-FR"/>
        </w:rPr>
        <w:t xml:space="preserve"> </w:t>
      </w:r>
      <w:r w:rsidR="005B04EA">
        <w:rPr>
          <w:lang w:val="fr-FR"/>
        </w:rPr>
        <w:t>concern</w:t>
      </w:r>
      <w:r w:rsidR="00B1566C">
        <w:rPr>
          <w:lang w:val="fr-FR"/>
        </w:rPr>
        <w:t>ant le traitement des données personnelles dans l’exercice de la fonction juridictionnelle.</w:t>
      </w:r>
    </w:p>
    <w:p w14:paraId="3373923B" w14:textId="564E433B" w:rsidR="00374FCA" w:rsidRPr="00484E64" w:rsidRDefault="007E7892" w:rsidP="00072820">
      <w:pPr>
        <w:jc w:val="both"/>
        <w:rPr>
          <w:b/>
          <w:i/>
          <w:iCs/>
          <w:color w:val="4472C4" w:themeColor="accent1"/>
          <w:lang w:val="fr-FR"/>
        </w:rPr>
      </w:pPr>
      <w:r w:rsidRPr="00484E64">
        <w:rPr>
          <w:b/>
          <w:i/>
          <w:iCs/>
          <w:color w:val="4472C4" w:themeColor="accent1"/>
          <w:lang w:val="fr-FR"/>
        </w:rPr>
        <w:lastRenderedPageBreak/>
        <w:t xml:space="preserve">B. </w:t>
      </w:r>
      <w:r w:rsidR="00374FCA" w:rsidRPr="00484E64">
        <w:rPr>
          <w:b/>
          <w:i/>
          <w:iCs/>
          <w:color w:val="4472C4" w:themeColor="accent1"/>
          <w:lang w:val="fr-FR"/>
        </w:rPr>
        <w:t>Questions</w:t>
      </w:r>
    </w:p>
    <w:p w14:paraId="73BDC250" w14:textId="77777777" w:rsidR="00D86929" w:rsidRPr="00484E64" w:rsidRDefault="00D86929" w:rsidP="00072820">
      <w:pPr>
        <w:jc w:val="both"/>
        <w:rPr>
          <w:i/>
          <w:iCs/>
          <w:color w:val="4472C4" w:themeColor="accent1"/>
          <w:lang w:val="fr-FR"/>
        </w:rPr>
      </w:pPr>
    </w:p>
    <w:p w14:paraId="6AA07272" w14:textId="047E9C06" w:rsidR="00F679AD" w:rsidRPr="00484E64" w:rsidRDefault="00875869" w:rsidP="00072820">
      <w:pPr>
        <w:jc w:val="both"/>
        <w:rPr>
          <w:iCs/>
          <w:color w:val="4472C4" w:themeColor="accent1"/>
          <w:lang w:val="fr-FR"/>
        </w:rPr>
      </w:pPr>
      <w:r w:rsidRPr="00484E64">
        <w:rPr>
          <w:iCs/>
          <w:color w:val="4472C4" w:themeColor="accent1"/>
          <w:lang w:val="fr-FR"/>
        </w:rPr>
        <w:t xml:space="preserve">1. </w:t>
      </w:r>
      <w:r w:rsidR="00B1566C">
        <w:rPr>
          <w:iCs/>
          <w:color w:val="4472C4" w:themeColor="accent1"/>
          <w:lang w:val="fr-FR"/>
        </w:rPr>
        <w:t>Mécanismes de supervision en place </w:t>
      </w:r>
      <w:r w:rsidR="001267EA" w:rsidRPr="00484E64">
        <w:rPr>
          <w:iCs/>
          <w:color w:val="4472C4" w:themeColor="accent1"/>
          <w:lang w:val="fr-FR"/>
        </w:rPr>
        <w:t>:</w:t>
      </w:r>
    </w:p>
    <w:p w14:paraId="46A6F8A5" w14:textId="7DD99914" w:rsidR="00F11921" w:rsidRPr="00484E64" w:rsidRDefault="00B1566C" w:rsidP="00425867">
      <w:pPr>
        <w:rPr>
          <w:iCs/>
          <w:color w:val="4472C4" w:themeColor="accent1"/>
          <w:lang w:val="fr-FR"/>
        </w:rPr>
      </w:pPr>
      <w:r>
        <w:rPr>
          <w:iCs/>
          <w:color w:val="4472C4" w:themeColor="accent1"/>
          <w:lang w:val="fr-FR"/>
        </w:rPr>
        <w:t xml:space="preserve">Nous vous prions de vérifier si </w:t>
      </w:r>
      <w:r w:rsidR="00705ADD">
        <w:rPr>
          <w:iCs/>
          <w:color w:val="4472C4" w:themeColor="accent1"/>
          <w:lang w:val="fr-FR"/>
        </w:rPr>
        <w:t>d</w:t>
      </w:r>
      <w:r>
        <w:rPr>
          <w:iCs/>
          <w:color w:val="4472C4" w:themeColor="accent1"/>
          <w:lang w:val="fr-FR"/>
        </w:rPr>
        <w:t xml:space="preserve">es informations relatives à votre pays sont présentes dans la </w:t>
      </w:r>
      <w:hyperlink r:id="rId13" w:history="1">
        <w:r w:rsidR="00F11921" w:rsidRPr="00484E64">
          <w:rPr>
            <w:rStyle w:val="Hyperlink"/>
            <w:color w:val="4472C4" w:themeColor="accent1"/>
            <w:lang w:val="fr-FR"/>
          </w:rPr>
          <w:t>not</w:t>
        </w:r>
        <w:r>
          <w:rPr>
            <w:rStyle w:val="Hyperlink"/>
            <w:color w:val="4472C4" w:themeColor="accent1"/>
            <w:lang w:val="fr-FR"/>
          </w:rPr>
          <w:t>e de recherch</w:t>
        </w:r>
        <w:r w:rsidR="00F11921" w:rsidRPr="00484E64">
          <w:rPr>
            <w:rStyle w:val="Hyperlink"/>
            <w:color w:val="4472C4" w:themeColor="accent1"/>
            <w:lang w:val="fr-FR"/>
          </w:rPr>
          <w:t>e</w:t>
        </w:r>
      </w:hyperlink>
      <w:r w:rsidR="00F11921" w:rsidRPr="00484E64">
        <w:rPr>
          <w:color w:val="4472C4" w:themeColor="accent1"/>
          <w:lang w:val="fr-FR"/>
        </w:rPr>
        <w:t xml:space="preserve"> </w:t>
      </w:r>
      <w:r>
        <w:rPr>
          <w:color w:val="4472C4" w:themeColor="accent1"/>
          <w:lang w:val="fr-FR"/>
        </w:rPr>
        <w:t>de</w:t>
      </w:r>
      <w:r w:rsidR="00F11921" w:rsidRPr="00484E64">
        <w:rPr>
          <w:color w:val="4472C4" w:themeColor="accent1"/>
          <w:lang w:val="fr-FR"/>
        </w:rPr>
        <w:t xml:space="preserve"> </w:t>
      </w:r>
      <w:r>
        <w:rPr>
          <w:color w:val="4472C4" w:themeColor="accent1"/>
          <w:lang w:val="fr-FR"/>
        </w:rPr>
        <w:t>juillet </w:t>
      </w:r>
      <w:r w:rsidR="00F11921" w:rsidRPr="00484E64">
        <w:rPr>
          <w:color w:val="4472C4" w:themeColor="accent1"/>
          <w:lang w:val="fr-FR"/>
        </w:rPr>
        <w:t xml:space="preserve">2018 </w:t>
      </w:r>
      <w:r>
        <w:rPr>
          <w:color w:val="4472C4" w:themeColor="accent1"/>
          <w:lang w:val="fr-FR"/>
        </w:rPr>
        <w:t>sur le</w:t>
      </w:r>
      <w:r w:rsidR="00F11921" w:rsidRPr="00484E64">
        <w:rPr>
          <w:color w:val="4472C4" w:themeColor="accent1"/>
          <w:lang w:val="fr-FR"/>
        </w:rPr>
        <w:t xml:space="preserve"> </w:t>
      </w:r>
      <w:r w:rsidRPr="00B1566C">
        <w:rPr>
          <w:color w:val="4472C4" w:themeColor="accent1"/>
          <w:lang w:val="fr-FR"/>
        </w:rPr>
        <w:t>« Contrôle de la conformité des juridictions avec les règles de protection des données personnelles dans l’exercice de leur fonction juridictionnelle »</w:t>
      </w:r>
      <w:r w:rsidR="00F11921" w:rsidRPr="00484E64">
        <w:rPr>
          <w:iCs/>
          <w:color w:val="4472C4" w:themeColor="accent1"/>
          <w:lang w:val="fr-FR"/>
        </w:rPr>
        <w:t xml:space="preserve">. </w:t>
      </w:r>
      <w:r>
        <w:rPr>
          <w:iCs/>
          <w:color w:val="4472C4" w:themeColor="accent1"/>
          <w:lang w:val="fr-FR"/>
        </w:rPr>
        <w:t>Si oui, veuillez répondre à la</w:t>
      </w:r>
      <w:r w:rsidR="00E20A22" w:rsidRPr="00484E64">
        <w:rPr>
          <w:iCs/>
          <w:color w:val="4472C4" w:themeColor="accent1"/>
          <w:lang w:val="fr-FR"/>
        </w:rPr>
        <w:t xml:space="preserve"> question 1.a. </w:t>
      </w:r>
      <w:r>
        <w:rPr>
          <w:iCs/>
          <w:color w:val="4472C4" w:themeColor="accent1"/>
          <w:lang w:val="fr-FR"/>
        </w:rPr>
        <w:t>Si non, veuillez répondre à la</w:t>
      </w:r>
      <w:r w:rsidR="00E20A22" w:rsidRPr="00484E64">
        <w:rPr>
          <w:iCs/>
          <w:color w:val="4472C4" w:themeColor="accent1"/>
          <w:lang w:val="fr-FR"/>
        </w:rPr>
        <w:t xml:space="preserve"> question 1.b.</w:t>
      </w:r>
    </w:p>
    <w:p w14:paraId="18A6C5DC" w14:textId="77777777" w:rsidR="00F11921" w:rsidRPr="00484E64" w:rsidRDefault="00F11921" w:rsidP="00F11921">
      <w:pPr>
        <w:spacing w:after="240"/>
        <w:rPr>
          <w:iCs/>
          <w:color w:val="4472C4" w:themeColor="accent1"/>
          <w:lang w:val="fr-FR"/>
        </w:rPr>
      </w:pPr>
    </w:p>
    <w:p w14:paraId="5E343829" w14:textId="23730F22" w:rsidR="00F11921" w:rsidRPr="002E0052" w:rsidRDefault="00F11921" w:rsidP="00F11921">
      <w:pPr>
        <w:spacing w:after="240"/>
        <w:rPr>
          <w:rFonts w:cs="Times New Roman (Corps CS)"/>
          <w:color w:val="4472C4" w:themeColor="accent1"/>
          <w:lang w:val="fr-FR"/>
        </w:rPr>
      </w:pPr>
      <w:r w:rsidRPr="00484E64">
        <w:rPr>
          <w:iCs/>
          <w:color w:val="4472C4" w:themeColor="accent1"/>
          <w:lang w:val="fr-FR"/>
        </w:rPr>
        <w:t xml:space="preserve">a. </w:t>
      </w:r>
      <w:r w:rsidR="00B1566C">
        <w:rPr>
          <w:iCs/>
          <w:color w:val="4472C4" w:themeColor="accent1"/>
          <w:lang w:val="fr-FR"/>
        </w:rPr>
        <w:t xml:space="preserve">Si oui, nous vous remercions d’indiquer si ces informations reflètent </w:t>
      </w:r>
      <w:r w:rsidR="00705ADD">
        <w:rPr>
          <w:iCs/>
          <w:color w:val="4472C4" w:themeColor="accent1"/>
          <w:lang w:val="fr-FR"/>
        </w:rPr>
        <w:t>encore</w:t>
      </w:r>
      <w:r w:rsidR="00B1566C">
        <w:rPr>
          <w:iCs/>
          <w:color w:val="4472C4" w:themeColor="accent1"/>
          <w:lang w:val="fr-FR"/>
        </w:rPr>
        <w:t xml:space="preserve"> les mécanismes de contrôle en vigueur dans votre pays ; le cas échéant, indiquez quels développements sont intervenus depuis juillet 2018 </w:t>
      </w:r>
      <w:r w:rsidR="00B1566C" w:rsidRPr="002E0052">
        <w:rPr>
          <w:iCs/>
          <w:color w:val="4472C4" w:themeColor="accent1"/>
          <w:lang w:val="fr-FR"/>
        </w:rPr>
        <w:t xml:space="preserve">dans l’établissement de mécanismes de contrôle spécifiques dans votre pays en ce qui </w:t>
      </w:r>
      <w:r w:rsidR="00B1566C" w:rsidRPr="002E0052">
        <w:rPr>
          <w:rFonts w:cs="Times New Roman (Corps CS)"/>
          <w:iCs/>
          <w:color w:val="4472C4" w:themeColor="accent1"/>
          <w:lang w:val="fr-FR"/>
        </w:rPr>
        <w:t>concerne</w:t>
      </w:r>
      <w:r w:rsidR="00B1566C" w:rsidRPr="002E0052">
        <w:rPr>
          <w:rFonts w:cs="Times New Roman (Corps CS)"/>
          <w:color w:val="4472C4" w:themeColor="accent1"/>
          <w:lang w:val="fr-FR"/>
        </w:rPr>
        <w:t xml:space="preserve"> </w:t>
      </w:r>
      <w:r w:rsidR="00DE5DC1" w:rsidRPr="002E0052">
        <w:rPr>
          <w:rFonts w:cs="Times New Roman (Corps CS)"/>
          <w:color w:val="4472C4" w:themeColor="accent1"/>
          <w:lang w:val="fr-FR"/>
        </w:rPr>
        <w:t xml:space="preserve">la conformité </w:t>
      </w:r>
      <w:r w:rsidR="00033C0B" w:rsidRPr="002E0052">
        <w:rPr>
          <w:rFonts w:cs="Times New Roman (Corps CS)"/>
          <w:color w:val="4472C4" w:themeColor="accent1"/>
          <w:lang w:val="fr-FR"/>
        </w:rPr>
        <w:t xml:space="preserve">des juridictions avec les règles de protection </w:t>
      </w:r>
      <w:r w:rsidR="00B1566C" w:rsidRPr="002E0052">
        <w:rPr>
          <w:rFonts w:cs="Times New Roman (Corps CS)"/>
          <w:color w:val="4472C4" w:themeColor="accent1"/>
          <w:lang w:val="fr-FR"/>
        </w:rPr>
        <w:t>des données personnelles dans l’exercice de leur fonction juridictionnelle</w:t>
      </w:r>
      <w:r w:rsidRPr="002E0052">
        <w:rPr>
          <w:rFonts w:cs="Times New Roman (Corps CS)"/>
          <w:color w:val="4472C4" w:themeColor="accent1"/>
          <w:lang w:val="fr-FR"/>
        </w:rPr>
        <w:t>.</w:t>
      </w:r>
    </w:p>
    <w:p w14:paraId="64430036" w14:textId="12602DC7" w:rsidR="00924ADB" w:rsidRPr="002E0052" w:rsidRDefault="00924ADB" w:rsidP="00924ADB">
      <w:pPr>
        <w:spacing w:after="240"/>
        <w:rPr>
          <w:color w:val="4472C4" w:themeColor="accent1"/>
          <w:lang w:val="fr-FR"/>
        </w:rPr>
      </w:pPr>
      <w:r w:rsidRPr="002E0052">
        <w:rPr>
          <w:rFonts w:cs="Times New Roman (Corps CS)"/>
          <w:iCs/>
          <w:color w:val="4472C4" w:themeColor="accent1"/>
          <w:lang w:val="fr-FR"/>
        </w:rPr>
        <w:t xml:space="preserve">b. </w:t>
      </w:r>
      <w:r w:rsidR="00B1566C" w:rsidRPr="002E0052">
        <w:rPr>
          <w:rFonts w:cs="Times New Roman (Corps CS)"/>
          <w:iCs/>
          <w:color w:val="4472C4" w:themeColor="accent1"/>
          <w:lang w:val="fr-FR"/>
        </w:rPr>
        <w:t>Si</w:t>
      </w:r>
      <w:r w:rsidRPr="002E0052">
        <w:rPr>
          <w:rFonts w:cs="Times New Roman (Corps CS)"/>
          <w:iCs/>
          <w:color w:val="4472C4" w:themeColor="accent1"/>
          <w:lang w:val="fr-FR"/>
        </w:rPr>
        <w:t xml:space="preserve"> no</w:t>
      </w:r>
      <w:r w:rsidR="00B1566C" w:rsidRPr="002E0052">
        <w:rPr>
          <w:rFonts w:cs="Times New Roman (Corps CS)"/>
          <w:iCs/>
          <w:color w:val="4472C4" w:themeColor="accent1"/>
          <w:lang w:val="fr-FR"/>
        </w:rPr>
        <w:t>n</w:t>
      </w:r>
      <w:r w:rsidRPr="002E0052">
        <w:rPr>
          <w:rFonts w:cs="Times New Roman (Corps CS)"/>
          <w:iCs/>
          <w:color w:val="4472C4" w:themeColor="accent1"/>
          <w:lang w:val="fr-FR"/>
        </w:rPr>
        <w:t xml:space="preserve">, </w:t>
      </w:r>
      <w:r w:rsidR="00425867" w:rsidRPr="002E0052">
        <w:rPr>
          <w:rFonts w:cs="Times New Roman (Corps CS)"/>
          <w:iCs/>
          <w:color w:val="4472C4" w:themeColor="accent1"/>
          <w:lang w:val="fr-FR"/>
        </w:rPr>
        <w:t>quels mécanismes de contrôle spécifiques existent dans votre pays en ce qui concerne</w:t>
      </w:r>
      <w:r w:rsidR="00425867" w:rsidRPr="002E0052">
        <w:rPr>
          <w:rFonts w:cs="Times New Roman (Corps CS)"/>
          <w:color w:val="4472C4" w:themeColor="accent1"/>
          <w:lang w:val="fr-FR"/>
        </w:rPr>
        <w:t xml:space="preserve"> </w:t>
      </w:r>
      <w:r w:rsidR="00EF31B3" w:rsidRPr="002E0052">
        <w:rPr>
          <w:rFonts w:cs="Times New Roman (Corps CS)"/>
          <w:color w:val="4472C4" w:themeColor="accent1"/>
          <w:lang w:val="fr-FR"/>
        </w:rPr>
        <w:t>la conformité d</w:t>
      </w:r>
      <w:r w:rsidR="00425867" w:rsidRPr="002E0052">
        <w:rPr>
          <w:rFonts w:cs="Times New Roman (Corps CS)"/>
          <w:color w:val="4472C4" w:themeColor="accent1"/>
          <w:lang w:val="fr-FR"/>
        </w:rPr>
        <w:t xml:space="preserve">es juridictions </w:t>
      </w:r>
      <w:r w:rsidR="00EF31B3" w:rsidRPr="002E0052">
        <w:rPr>
          <w:rFonts w:cs="Times New Roman (Corps CS)"/>
          <w:color w:val="4472C4" w:themeColor="accent1"/>
          <w:lang w:val="fr-FR"/>
        </w:rPr>
        <w:t>avec les règles de protection</w:t>
      </w:r>
      <w:r w:rsidR="00EF31B3" w:rsidRPr="002E0052">
        <w:rPr>
          <w:color w:val="4472C4" w:themeColor="accent1"/>
          <w:lang w:val="fr-FR"/>
        </w:rPr>
        <w:t xml:space="preserve"> des données personnelles </w:t>
      </w:r>
      <w:r w:rsidR="00425867" w:rsidRPr="002E0052">
        <w:rPr>
          <w:color w:val="4472C4" w:themeColor="accent1"/>
          <w:lang w:val="fr-FR"/>
        </w:rPr>
        <w:t>dans l’exercice de leur fonction juridictionnelle </w:t>
      </w:r>
      <w:r w:rsidRPr="002E0052">
        <w:rPr>
          <w:color w:val="4472C4" w:themeColor="accent1"/>
          <w:lang w:val="fr-FR"/>
        </w:rPr>
        <w:t>?</w:t>
      </w:r>
    </w:p>
    <w:p w14:paraId="156A7B31" w14:textId="2D7E3319" w:rsidR="00911409" w:rsidRPr="00484E64" w:rsidRDefault="00924ADB" w:rsidP="00072820">
      <w:pPr>
        <w:jc w:val="both"/>
        <w:rPr>
          <w:iCs/>
          <w:color w:val="4472C4" w:themeColor="accent1"/>
          <w:lang w:val="fr-FR"/>
        </w:rPr>
      </w:pPr>
      <w:r w:rsidRPr="00484E64">
        <w:rPr>
          <w:iCs/>
          <w:color w:val="4472C4" w:themeColor="accent1"/>
          <w:lang w:val="fr-FR"/>
        </w:rPr>
        <w:t xml:space="preserve">2. </w:t>
      </w:r>
      <w:r w:rsidR="00425867">
        <w:rPr>
          <w:iCs/>
          <w:color w:val="4472C4" w:themeColor="accent1"/>
          <w:lang w:val="fr-FR"/>
        </w:rPr>
        <w:t>Fonctionnement du contrôle</w:t>
      </w:r>
      <w:r w:rsidR="00EF31B3">
        <w:rPr>
          <w:iCs/>
          <w:color w:val="4472C4" w:themeColor="accent1"/>
          <w:lang w:val="fr-FR"/>
        </w:rPr>
        <w:t> :</w:t>
      </w:r>
    </w:p>
    <w:p w14:paraId="4AC3ED42" w14:textId="72F65AE6" w:rsidR="00E20A22" w:rsidRPr="00484E64" w:rsidRDefault="00043195" w:rsidP="00072820">
      <w:pPr>
        <w:jc w:val="both"/>
        <w:rPr>
          <w:iCs/>
          <w:color w:val="4472C4" w:themeColor="accent1"/>
          <w:lang w:val="fr-FR"/>
        </w:rPr>
      </w:pPr>
      <w:r w:rsidRPr="00484E64">
        <w:rPr>
          <w:iCs/>
          <w:color w:val="4472C4" w:themeColor="accent1"/>
          <w:lang w:val="fr-FR"/>
        </w:rPr>
        <w:t xml:space="preserve">a. </w:t>
      </w:r>
      <w:r w:rsidR="00425867">
        <w:rPr>
          <w:iCs/>
          <w:color w:val="4472C4" w:themeColor="accent1"/>
          <w:lang w:val="fr-FR"/>
        </w:rPr>
        <w:t xml:space="preserve">Pouvez-vous fournir des exemples ou toute autre information sur le fonctionnement, dans votre pays, du contrôle de la conformité des juridictions </w:t>
      </w:r>
      <w:r w:rsidR="00425867" w:rsidRPr="00B1566C">
        <w:rPr>
          <w:color w:val="4472C4" w:themeColor="accent1"/>
          <w:lang w:val="fr-FR"/>
        </w:rPr>
        <w:t>avec les règles de protection des données personnelles dans l’exercice de leur fonction juridictionnelle</w:t>
      </w:r>
      <w:r w:rsidR="00425867">
        <w:rPr>
          <w:iCs/>
          <w:color w:val="4472C4" w:themeColor="accent1"/>
          <w:lang w:val="fr-FR"/>
        </w:rPr>
        <w:t> ?</w:t>
      </w:r>
      <w:r w:rsidR="00924ADB" w:rsidRPr="00484E64">
        <w:rPr>
          <w:iCs/>
          <w:color w:val="4472C4" w:themeColor="accent1"/>
          <w:lang w:val="fr-FR"/>
        </w:rPr>
        <w:t xml:space="preserve"> </w:t>
      </w:r>
      <w:r w:rsidR="00425867">
        <w:rPr>
          <w:iCs/>
          <w:color w:val="4472C4" w:themeColor="accent1"/>
          <w:lang w:val="fr-FR"/>
        </w:rPr>
        <w:t>Par exemple </w:t>
      </w:r>
      <w:r w:rsidR="00E20A22" w:rsidRPr="00484E64">
        <w:rPr>
          <w:iCs/>
          <w:color w:val="4472C4" w:themeColor="accent1"/>
          <w:lang w:val="fr-FR"/>
        </w:rPr>
        <w:t>:</w:t>
      </w:r>
    </w:p>
    <w:p w14:paraId="3E5D8067" w14:textId="30421A43" w:rsidR="00E20A22" w:rsidRPr="00484E64" w:rsidRDefault="00E20A22" w:rsidP="00043195">
      <w:pPr>
        <w:pStyle w:val="ListParagraph"/>
        <w:numPr>
          <w:ilvl w:val="0"/>
          <w:numId w:val="4"/>
        </w:numPr>
        <w:jc w:val="both"/>
        <w:rPr>
          <w:iCs/>
          <w:color w:val="4472C4" w:themeColor="accent1"/>
          <w:lang w:val="fr-FR"/>
        </w:rPr>
      </w:pPr>
      <w:proofErr w:type="gramStart"/>
      <w:r w:rsidRPr="00484E64">
        <w:rPr>
          <w:iCs/>
          <w:color w:val="4472C4" w:themeColor="accent1"/>
          <w:lang w:val="fr-FR"/>
        </w:rPr>
        <w:t>ex</w:t>
      </w:r>
      <w:r w:rsidR="00425867">
        <w:rPr>
          <w:iCs/>
          <w:color w:val="4472C4" w:themeColor="accent1"/>
          <w:lang w:val="fr-FR"/>
        </w:rPr>
        <w:t>e</w:t>
      </w:r>
      <w:r w:rsidRPr="00484E64">
        <w:rPr>
          <w:iCs/>
          <w:color w:val="4472C4" w:themeColor="accent1"/>
          <w:lang w:val="fr-FR"/>
        </w:rPr>
        <w:t>mples</w:t>
      </w:r>
      <w:proofErr w:type="gramEnd"/>
      <w:r w:rsidRPr="00484E64">
        <w:rPr>
          <w:iCs/>
          <w:color w:val="4472C4" w:themeColor="accent1"/>
          <w:lang w:val="fr-FR"/>
        </w:rPr>
        <w:t xml:space="preserve"> </w:t>
      </w:r>
      <w:r w:rsidR="00425867">
        <w:rPr>
          <w:iCs/>
          <w:color w:val="4472C4" w:themeColor="accent1"/>
          <w:lang w:val="fr-FR"/>
        </w:rPr>
        <w:t>de décisions des cours ou de</w:t>
      </w:r>
      <w:r w:rsidRPr="00484E64">
        <w:rPr>
          <w:iCs/>
          <w:color w:val="4472C4" w:themeColor="accent1"/>
          <w:lang w:val="fr-FR"/>
        </w:rPr>
        <w:t xml:space="preserve"> jug</w:t>
      </w:r>
      <w:r w:rsidR="00425867">
        <w:rPr>
          <w:iCs/>
          <w:color w:val="4472C4" w:themeColor="accent1"/>
          <w:lang w:val="fr-FR"/>
        </w:rPr>
        <w:t>e</w:t>
      </w:r>
      <w:r w:rsidRPr="00484E64">
        <w:rPr>
          <w:iCs/>
          <w:color w:val="4472C4" w:themeColor="accent1"/>
          <w:lang w:val="fr-FR"/>
        </w:rPr>
        <w:t xml:space="preserve">ments </w:t>
      </w:r>
      <w:r w:rsidR="00425867">
        <w:rPr>
          <w:iCs/>
          <w:color w:val="4472C4" w:themeColor="accent1"/>
          <w:lang w:val="fr-FR"/>
        </w:rPr>
        <w:t>concernant ce contrôle</w:t>
      </w:r>
      <w:r w:rsidRPr="00484E64">
        <w:rPr>
          <w:iCs/>
          <w:color w:val="4472C4" w:themeColor="accent1"/>
          <w:lang w:val="fr-FR"/>
        </w:rPr>
        <w:t>,</w:t>
      </w:r>
    </w:p>
    <w:p w14:paraId="2381D8A7" w14:textId="5570E388" w:rsidR="00E20A22" w:rsidRPr="00484E64" w:rsidRDefault="00E20A22" w:rsidP="00E20A22">
      <w:pPr>
        <w:pStyle w:val="ListParagraph"/>
        <w:numPr>
          <w:ilvl w:val="0"/>
          <w:numId w:val="4"/>
        </w:numPr>
        <w:jc w:val="both"/>
        <w:rPr>
          <w:iCs/>
          <w:color w:val="4472C4" w:themeColor="accent1"/>
          <w:lang w:val="fr-FR"/>
        </w:rPr>
      </w:pPr>
      <w:proofErr w:type="gramStart"/>
      <w:r w:rsidRPr="00484E64">
        <w:rPr>
          <w:iCs/>
          <w:color w:val="4472C4" w:themeColor="accent1"/>
          <w:lang w:val="fr-FR"/>
        </w:rPr>
        <w:t>information</w:t>
      </w:r>
      <w:r w:rsidR="00425867">
        <w:rPr>
          <w:iCs/>
          <w:color w:val="4472C4" w:themeColor="accent1"/>
          <w:lang w:val="fr-FR"/>
        </w:rPr>
        <w:t>s</w:t>
      </w:r>
      <w:proofErr w:type="gramEnd"/>
      <w:r w:rsidR="00425867">
        <w:rPr>
          <w:iCs/>
          <w:color w:val="4472C4" w:themeColor="accent1"/>
          <w:lang w:val="fr-FR"/>
        </w:rPr>
        <w:t xml:space="preserve"> contenues dans des rapports annuels</w:t>
      </w:r>
      <w:r w:rsidRPr="00484E64">
        <w:rPr>
          <w:iCs/>
          <w:color w:val="4472C4" w:themeColor="accent1"/>
          <w:lang w:val="fr-FR"/>
        </w:rPr>
        <w:t xml:space="preserve"> </w:t>
      </w:r>
      <w:r w:rsidR="00425867">
        <w:rPr>
          <w:iCs/>
          <w:color w:val="4472C4" w:themeColor="accent1"/>
          <w:lang w:val="fr-FR"/>
        </w:rPr>
        <w:t>concernant ce contrôle</w:t>
      </w:r>
      <w:r w:rsidRPr="00484E64">
        <w:rPr>
          <w:iCs/>
          <w:color w:val="4472C4" w:themeColor="accent1"/>
          <w:lang w:val="fr-FR"/>
        </w:rPr>
        <w:t>,</w:t>
      </w:r>
    </w:p>
    <w:p w14:paraId="0841399A" w14:textId="7C5C07F9" w:rsidR="00EA59AD" w:rsidRPr="00484E64" w:rsidRDefault="00EA59AD" w:rsidP="00EA59AD">
      <w:pPr>
        <w:pStyle w:val="ListParagraph"/>
        <w:numPr>
          <w:ilvl w:val="0"/>
          <w:numId w:val="4"/>
        </w:numPr>
        <w:jc w:val="both"/>
        <w:rPr>
          <w:iCs/>
          <w:color w:val="4472C4" w:themeColor="accent1"/>
          <w:lang w:val="fr-FR"/>
        </w:rPr>
      </w:pPr>
      <w:proofErr w:type="gramStart"/>
      <w:r w:rsidRPr="00484E64">
        <w:rPr>
          <w:iCs/>
          <w:color w:val="4472C4" w:themeColor="accent1"/>
          <w:lang w:val="fr-FR"/>
        </w:rPr>
        <w:t>ex</w:t>
      </w:r>
      <w:r w:rsidR="00425867">
        <w:rPr>
          <w:iCs/>
          <w:color w:val="4472C4" w:themeColor="accent1"/>
          <w:lang w:val="fr-FR"/>
        </w:rPr>
        <w:t>e</w:t>
      </w:r>
      <w:r w:rsidRPr="00484E64">
        <w:rPr>
          <w:iCs/>
          <w:color w:val="4472C4" w:themeColor="accent1"/>
          <w:lang w:val="fr-FR"/>
        </w:rPr>
        <w:t>mples</w:t>
      </w:r>
      <w:proofErr w:type="gramEnd"/>
      <w:r w:rsidRPr="00484E64">
        <w:rPr>
          <w:iCs/>
          <w:color w:val="4472C4" w:themeColor="accent1"/>
          <w:lang w:val="fr-FR"/>
        </w:rPr>
        <w:t xml:space="preserve"> </w:t>
      </w:r>
      <w:r w:rsidR="00425867">
        <w:rPr>
          <w:iCs/>
          <w:color w:val="4472C4" w:themeColor="accent1"/>
          <w:lang w:val="fr-FR"/>
        </w:rPr>
        <w:t>sur le traitement des réclamations</w:t>
      </w:r>
      <w:r w:rsidRPr="00484E64">
        <w:rPr>
          <w:iCs/>
          <w:color w:val="4472C4" w:themeColor="accent1"/>
          <w:lang w:val="fr-FR"/>
        </w:rPr>
        <w:t xml:space="preserve"> </w:t>
      </w:r>
      <w:r w:rsidR="00425867">
        <w:rPr>
          <w:iCs/>
          <w:color w:val="4472C4" w:themeColor="accent1"/>
          <w:lang w:val="fr-FR"/>
        </w:rPr>
        <w:t>concernant</w:t>
      </w:r>
      <w:r w:rsidRPr="00484E64">
        <w:rPr>
          <w:iCs/>
          <w:color w:val="4472C4" w:themeColor="accent1"/>
          <w:lang w:val="fr-FR"/>
        </w:rPr>
        <w:t xml:space="preserve"> </w:t>
      </w:r>
      <w:r w:rsidR="00425867">
        <w:rPr>
          <w:iCs/>
          <w:color w:val="4472C4" w:themeColor="accent1"/>
          <w:lang w:val="fr-FR"/>
        </w:rPr>
        <w:t xml:space="preserve">la conformité des juridictions </w:t>
      </w:r>
      <w:r w:rsidR="00425867" w:rsidRPr="00B1566C">
        <w:rPr>
          <w:color w:val="4472C4" w:themeColor="accent1"/>
          <w:lang w:val="fr-FR"/>
        </w:rPr>
        <w:t>avec les règles de protection des données personnelles dans l’exercice de leur fonction juridictionnelle</w:t>
      </w:r>
      <w:r w:rsidRPr="00484E64">
        <w:rPr>
          <w:iCs/>
          <w:color w:val="4472C4" w:themeColor="accent1"/>
          <w:lang w:val="fr-FR"/>
        </w:rPr>
        <w:t>,</w:t>
      </w:r>
    </w:p>
    <w:p w14:paraId="5429346C" w14:textId="29FCFB4D" w:rsidR="00EA59AD" w:rsidRPr="00484E64" w:rsidRDefault="00E20A22" w:rsidP="00E20A22">
      <w:pPr>
        <w:pStyle w:val="ListParagraph"/>
        <w:numPr>
          <w:ilvl w:val="0"/>
          <w:numId w:val="4"/>
        </w:numPr>
        <w:jc w:val="both"/>
        <w:rPr>
          <w:iCs/>
          <w:color w:val="4472C4" w:themeColor="accent1"/>
          <w:lang w:val="fr-FR"/>
        </w:rPr>
      </w:pPr>
      <w:proofErr w:type="gramStart"/>
      <w:r w:rsidRPr="00484E64">
        <w:rPr>
          <w:iCs/>
          <w:color w:val="4472C4" w:themeColor="accent1"/>
          <w:lang w:val="fr-FR"/>
        </w:rPr>
        <w:t>ex</w:t>
      </w:r>
      <w:r w:rsidR="00425867">
        <w:rPr>
          <w:iCs/>
          <w:color w:val="4472C4" w:themeColor="accent1"/>
          <w:lang w:val="fr-FR"/>
        </w:rPr>
        <w:t>e</w:t>
      </w:r>
      <w:r w:rsidRPr="00484E64">
        <w:rPr>
          <w:iCs/>
          <w:color w:val="4472C4" w:themeColor="accent1"/>
          <w:lang w:val="fr-FR"/>
        </w:rPr>
        <w:t>mples</w:t>
      </w:r>
      <w:proofErr w:type="gramEnd"/>
      <w:r w:rsidRPr="00484E64">
        <w:rPr>
          <w:iCs/>
          <w:color w:val="4472C4" w:themeColor="accent1"/>
          <w:lang w:val="fr-FR"/>
        </w:rPr>
        <w:t xml:space="preserve"> </w:t>
      </w:r>
      <w:r w:rsidR="00425867">
        <w:rPr>
          <w:iCs/>
          <w:color w:val="4472C4" w:themeColor="accent1"/>
          <w:lang w:val="fr-FR"/>
        </w:rPr>
        <w:t>d’activités d’autorités de contrôle établies</w:t>
      </w:r>
      <w:r w:rsidR="00EA59AD" w:rsidRPr="00484E64">
        <w:rPr>
          <w:iCs/>
          <w:color w:val="4472C4" w:themeColor="accent1"/>
          <w:lang w:val="fr-FR"/>
        </w:rPr>
        <w:t xml:space="preserve"> </w:t>
      </w:r>
      <w:r w:rsidR="00425867">
        <w:rPr>
          <w:iCs/>
          <w:color w:val="4472C4" w:themeColor="accent1"/>
          <w:lang w:val="fr-FR"/>
        </w:rPr>
        <w:t xml:space="preserve">concernant l’anonymisation ou la </w:t>
      </w:r>
      <w:proofErr w:type="spellStart"/>
      <w:r w:rsidR="00425867">
        <w:rPr>
          <w:iCs/>
          <w:color w:val="4472C4" w:themeColor="accent1"/>
          <w:lang w:val="fr-FR"/>
        </w:rPr>
        <w:t>pseudonymisation</w:t>
      </w:r>
      <w:proofErr w:type="spellEnd"/>
      <w:r w:rsidRPr="00484E64">
        <w:rPr>
          <w:iCs/>
          <w:color w:val="4472C4" w:themeColor="accent1"/>
          <w:lang w:val="fr-FR"/>
        </w:rPr>
        <w:t xml:space="preserve"> </w:t>
      </w:r>
      <w:r w:rsidR="00425867">
        <w:rPr>
          <w:iCs/>
          <w:color w:val="4472C4" w:themeColor="accent1"/>
          <w:lang w:val="fr-FR"/>
        </w:rPr>
        <w:t>d’une décision d’une cour ou d’un jugement</w:t>
      </w:r>
      <w:r w:rsidR="00EA59AD" w:rsidRPr="00484E64">
        <w:rPr>
          <w:iCs/>
          <w:color w:val="4472C4" w:themeColor="accent1"/>
          <w:lang w:val="fr-FR"/>
        </w:rPr>
        <w:t>,</w:t>
      </w:r>
    </w:p>
    <w:p w14:paraId="667FC099" w14:textId="69418493" w:rsidR="00875869" w:rsidRPr="00484E64" w:rsidRDefault="00E20A22" w:rsidP="00E20A22">
      <w:pPr>
        <w:pStyle w:val="ListParagraph"/>
        <w:numPr>
          <w:ilvl w:val="0"/>
          <w:numId w:val="4"/>
        </w:numPr>
        <w:jc w:val="both"/>
        <w:rPr>
          <w:iCs/>
          <w:color w:val="4472C4" w:themeColor="accent1"/>
          <w:lang w:val="fr-FR"/>
        </w:rPr>
      </w:pPr>
      <w:r w:rsidRPr="00484E64">
        <w:rPr>
          <w:iCs/>
          <w:color w:val="4472C4" w:themeColor="accent1"/>
          <w:lang w:val="fr-FR"/>
        </w:rPr>
        <w:t>etc.</w:t>
      </w:r>
    </w:p>
    <w:p w14:paraId="0871D470" w14:textId="77777777" w:rsidR="007E7892" w:rsidRPr="00484E64" w:rsidRDefault="007E7892" w:rsidP="00072820">
      <w:pPr>
        <w:jc w:val="both"/>
        <w:rPr>
          <w:color w:val="4472C4" w:themeColor="accent1"/>
          <w:lang w:val="fr-FR"/>
        </w:rPr>
      </w:pPr>
    </w:p>
    <w:p w14:paraId="5CD0D18F" w14:textId="537F5A18" w:rsidR="007E7892" w:rsidRPr="00484E64" w:rsidRDefault="00043195" w:rsidP="00043195">
      <w:pPr>
        <w:jc w:val="both"/>
        <w:rPr>
          <w:iCs/>
          <w:color w:val="4472C4" w:themeColor="accent1"/>
          <w:lang w:val="fr-FR"/>
        </w:rPr>
      </w:pPr>
      <w:r w:rsidRPr="00484E64">
        <w:rPr>
          <w:iCs/>
          <w:color w:val="4472C4" w:themeColor="accent1"/>
          <w:lang w:val="fr-FR"/>
        </w:rPr>
        <w:t>b</w:t>
      </w:r>
      <w:r w:rsidR="00875869" w:rsidRPr="00484E64">
        <w:rPr>
          <w:iCs/>
          <w:color w:val="4472C4" w:themeColor="accent1"/>
          <w:lang w:val="fr-FR"/>
        </w:rPr>
        <w:t>.</w:t>
      </w:r>
      <w:r w:rsidRPr="00484E64">
        <w:rPr>
          <w:iCs/>
          <w:color w:val="4472C4" w:themeColor="accent1"/>
          <w:lang w:val="fr-FR"/>
        </w:rPr>
        <w:t xml:space="preserve"> </w:t>
      </w:r>
      <w:r w:rsidR="00425867">
        <w:rPr>
          <w:iCs/>
          <w:color w:val="4472C4" w:themeColor="accent1"/>
          <w:lang w:val="fr-FR"/>
        </w:rPr>
        <w:t>Une autorité de contrôle</w:t>
      </w:r>
      <w:r w:rsidR="00A85773">
        <w:rPr>
          <w:iCs/>
          <w:color w:val="4472C4" w:themeColor="accent1"/>
          <w:lang w:val="fr-FR"/>
        </w:rPr>
        <w:t xml:space="preserve"> RGPD</w:t>
      </w:r>
      <w:r w:rsidR="00425867">
        <w:rPr>
          <w:iCs/>
          <w:color w:val="4472C4" w:themeColor="accent1"/>
          <w:lang w:val="fr-FR"/>
        </w:rPr>
        <w:t xml:space="preserve"> nationale </w:t>
      </w:r>
      <w:r w:rsidR="00A85773">
        <w:rPr>
          <w:iCs/>
          <w:color w:val="4472C4" w:themeColor="accent1"/>
          <w:lang w:val="fr-FR"/>
        </w:rPr>
        <w:t>non judiciaire</w:t>
      </w:r>
      <w:r w:rsidR="00425867">
        <w:rPr>
          <w:iCs/>
          <w:color w:val="4472C4" w:themeColor="accent1"/>
          <w:lang w:val="fr-FR"/>
        </w:rPr>
        <w:t xml:space="preserve"> effectue-t-elle des activités de contrôle de la</w:t>
      </w:r>
      <w:r w:rsidRPr="00484E64">
        <w:rPr>
          <w:iCs/>
          <w:color w:val="4472C4" w:themeColor="accent1"/>
          <w:lang w:val="fr-FR"/>
        </w:rPr>
        <w:t xml:space="preserve"> </w:t>
      </w:r>
      <w:r w:rsidR="00425867">
        <w:rPr>
          <w:iCs/>
          <w:color w:val="4472C4" w:themeColor="accent1"/>
          <w:lang w:val="fr-FR"/>
        </w:rPr>
        <w:t xml:space="preserve">conformité des juridictions </w:t>
      </w:r>
      <w:r w:rsidR="00425867" w:rsidRPr="00B1566C">
        <w:rPr>
          <w:color w:val="4472C4" w:themeColor="accent1"/>
          <w:lang w:val="fr-FR"/>
        </w:rPr>
        <w:t>avec les règles de protection des données personnelles dans l’exercice de leur fonction juridictionnelle</w:t>
      </w:r>
      <w:r w:rsidR="00425867">
        <w:rPr>
          <w:color w:val="4472C4" w:themeColor="accent1"/>
          <w:lang w:val="fr-FR"/>
        </w:rPr>
        <w:t> </w:t>
      </w:r>
      <w:r w:rsidRPr="00484E64">
        <w:rPr>
          <w:iCs/>
          <w:color w:val="4472C4" w:themeColor="accent1"/>
          <w:lang w:val="fr-FR"/>
        </w:rPr>
        <w:t xml:space="preserve">? </w:t>
      </w:r>
      <w:r w:rsidR="00425867">
        <w:rPr>
          <w:iCs/>
          <w:color w:val="4472C4" w:themeColor="accent1"/>
          <w:lang w:val="fr-FR"/>
        </w:rPr>
        <w:t>Si oui, quels types d’activités </w:t>
      </w:r>
      <w:r w:rsidR="0050374C" w:rsidRPr="00484E64">
        <w:rPr>
          <w:iCs/>
          <w:color w:val="4472C4" w:themeColor="accent1"/>
          <w:lang w:val="fr-FR"/>
        </w:rPr>
        <w:t>?</w:t>
      </w:r>
    </w:p>
    <w:p w14:paraId="74B676A8" w14:textId="45EB27BC" w:rsidR="00043195" w:rsidRPr="00484E64" w:rsidRDefault="00043195" w:rsidP="00072820">
      <w:pPr>
        <w:jc w:val="both"/>
        <w:rPr>
          <w:lang w:val="fr-FR"/>
        </w:rPr>
      </w:pPr>
    </w:p>
    <w:p w14:paraId="7B4A561F" w14:textId="7A7C6D0A" w:rsidR="009256C0" w:rsidRPr="00484E64" w:rsidRDefault="009256C0" w:rsidP="009256C0">
      <w:pPr>
        <w:rPr>
          <w:b/>
          <w:i/>
          <w:iCs/>
          <w:lang w:val="fr-FR"/>
        </w:rPr>
      </w:pPr>
      <w:r w:rsidRPr="00484E64">
        <w:rPr>
          <w:b/>
          <w:i/>
          <w:iCs/>
          <w:lang w:val="fr-FR"/>
        </w:rPr>
        <w:t xml:space="preserve">C. </w:t>
      </w:r>
      <w:r w:rsidR="00425867">
        <w:rPr>
          <w:b/>
          <w:i/>
          <w:iCs/>
          <w:lang w:val="fr-FR"/>
        </w:rPr>
        <w:t>Envoi des réponses</w:t>
      </w:r>
    </w:p>
    <w:p w14:paraId="6AB69174" w14:textId="77777777" w:rsidR="009256C0" w:rsidRPr="00484E64" w:rsidRDefault="009256C0" w:rsidP="00072820">
      <w:pPr>
        <w:jc w:val="both"/>
        <w:rPr>
          <w:lang w:val="fr-FR"/>
        </w:rPr>
      </w:pPr>
    </w:p>
    <w:p w14:paraId="696022E6" w14:textId="7EEF1C14" w:rsidR="009256C0" w:rsidRPr="00484E64" w:rsidRDefault="00425867" w:rsidP="00072820">
      <w:pPr>
        <w:jc w:val="both"/>
        <w:rPr>
          <w:lang w:val="fr-FR"/>
        </w:rPr>
      </w:pPr>
      <w:r>
        <w:rPr>
          <w:lang w:val="fr-FR"/>
        </w:rPr>
        <w:t xml:space="preserve">Nous vous remercions vivement de bien vouloir envoyer vos réponses au Secrétariat du Réseau </w:t>
      </w:r>
      <w:r w:rsidRPr="00533FC9">
        <w:rPr>
          <w:b/>
          <w:bCs/>
          <w:lang w:val="fr-FR"/>
        </w:rPr>
        <w:t>avant le 1</w:t>
      </w:r>
      <w:r w:rsidR="007240FB" w:rsidRPr="00533FC9">
        <w:rPr>
          <w:b/>
          <w:bCs/>
          <w:lang w:val="fr-FR"/>
        </w:rPr>
        <w:t>8</w:t>
      </w:r>
      <w:r w:rsidRPr="00533FC9">
        <w:rPr>
          <w:b/>
          <w:bCs/>
          <w:lang w:val="fr-FR"/>
        </w:rPr>
        <w:t> décembre</w:t>
      </w:r>
      <w:r w:rsidR="009256C0" w:rsidRPr="00533FC9">
        <w:rPr>
          <w:b/>
          <w:bCs/>
          <w:lang w:val="fr-FR"/>
        </w:rPr>
        <w:t xml:space="preserve"> 2024</w:t>
      </w:r>
      <w:r w:rsidR="009256C0" w:rsidRPr="00484E64">
        <w:rPr>
          <w:lang w:val="fr-FR"/>
        </w:rPr>
        <w:t>.</w:t>
      </w:r>
    </w:p>
    <w:p w14:paraId="03387097" w14:textId="77777777" w:rsidR="009256C0" w:rsidRPr="00484E64" w:rsidRDefault="009256C0" w:rsidP="00072820">
      <w:pPr>
        <w:jc w:val="both"/>
        <w:rPr>
          <w:lang w:val="fr-FR"/>
        </w:rPr>
      </w:pPr>
    </w:p>
    <w:p w14:paraId="5B03D1B9" w14:textId="77777777" w:rsidR="009256C0" w:rsidRPr="00484E64" w:rsidRDefault="009256C0" w:rsidP="00072820">
      <w:pPr>
        <w:jc w:val="both"/>
        <w:rPr>
          <w:lang w:val="fr-FR"/>
        </w:rPr>
      </w:pPr>
    </w:p>
    <w:p w14:paraId="33B3EEFB" w14:textId="7E24CC50" w:rsidR="009256C0" w:rsidRPr="00484E64" w:rsidRDefault="00425867" w:rsidP="00072820">
      <w:pPr>
        <w:jc w:val="both"/>
        <w:rPr>
          <w:lang w:val="fr-FR"/>
        </w:rPr>
      </w:pPr>
      <w:r>
        <w:rPr>
          <w:lang w:val="fr-FR"/>
        </w:rPr>
        <w:t>La Haye</w:t>
      </w:r>
      <w:r w:rsidR="009256C0" w:rsidRPr="00484E64">
        <w:rPr>
          <w:lang w:val="fr-FR"/>
        </w:rPr>
        <w:t xml:space="preserve">, 25 </w:t>
      </w:r>
      <w:r>
        <w:rPr>
          <w:lang w:val="fr-FR"/>
        </w:rPr>
        <w:t>octobre</w:t>
      </w:r>
      <w:r w:rsidR="009256C0" w:rsidRPr="00484E64">
        <w:rPr>
          <w:lang w:val="fr-FR"/>
        </w:rPr>
        <w:t xml:space="preserve"> 2024</w:t>
      </w:r>
    </w:p>
    <w:p w14:paraId="7ABDB77C" w14:textId="20BC343A" w:rsidR="00FC7FDF" w:rsidRPr="00484E64" w:rsidRDefault="009256C0" w:rsidP="00072820">
      <w:pPr>
        <w:jc w:val="both"/>
        <w:rPr>
          <w:lang w:val="fr-FR"/>
        </w:rPr>
      </w:pPr>
      <w:proofErr w:type="spellStart"/>
      <w:r w:rsidRPr="00484E64">
        <w:rPr>
          <w:lang w:val="fr-FR"/>
        </w:rPr>
        <w:t>Dineke</w:t>
      </w:r>
      <w:proofErr w:type="spellEnd"/>
      <w:r w:rsidRPr="00484E64">
        <w:rPr>
          <w:lang w:val="fr-FR"/>
        </w:rPr>
        <w:t xml:space="preserve"> de Groot, pr</w:t>
      </w:r>
      <w:r w:rsidR="00425867">
        <w:rPr>
          <w:lang w:val="fr-FR"/>
        </w:rPr>
        <w:t>é</w:t>
      </w:r>
      <w:r w:rsidRPr="00484E64">
        <w:rPr>
          <w:lang w:val="fr-FR"/>
        </w:rPr>
        <w:t>sident</w:t>
      </w:r>
      <w:r w:rsidR="00425867">
        <w:rPr>
          <w:lang w:val="fr-FR"/>
        </w:rPr>
        <w:t>e de la Cour suprême des Pays-Bas</w:t>
      </w:r>
    </w:p>
    <w:sectPr w:rsidR="00FC7FDF" w:rsidRPr="00484E64" w:rsidSect="00BF3376">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08575" w14:textId="77777777" w:rsidR="00085490" w:rsidRDefault="00085490" w:rsidP="00374FCA">
      <w:r>
        <w:separator/>
      </w:r>
    </w:p>
  </w:endnote>
  <w:endnote w:type="continuationSeparator" w:id="0">
    <w:p w14:paraId="5D2197B3" w14:textId="77777777" w:rsidR="00085490" w:rsidRDefault="00085490" w:rsidP="0037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David">
    <w:charset w:val="B1"/>
    <w:family w:val="swiss"/>
    <w:pitch w:val="variable"/>
    <w:sig w:usb0="00000803" w:usb1="00000000" w:usb2="00000000" w:usb3="00000000" w:csb0="00000021" w:csb1="00000000"/>
  </w:font>
  <w:font w:name="Times New Roman (Corp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3795419"/>
      <w:docPartObj>
        <w:docPartGallery w:val="Page Numbers (Bottom of Page)"/>
        <w:docPartUnique/>
      </w:docPartObj>
    </w:sdtPr>
    <w:sdtEndPr>
      <w:rPr>
        <w:rStyle w:val="PageNumber"/>
      </w:rPr>
    </w:sdtEndPr>
    <w:sdtContent>
      <w:p w14:paraId="2569780F" w14:textId="77777777" w:rsidR="00374FCA" w:rsidRDefault="00374FCA" w:rsidP="007B0F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2FA599" w14:textId="77777777" w:rsidR="00374FCA" w:rsidRDefault="00374FCA" w:rsidP="00374F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8321324"/>
      <w:docPartObj>
        <w:docPartGallery w:val="Page Numbers (Bottom of Page)"/>
        <w:docPartUnique/>
      </w:docPartObj>
    </w:sdtPr>
    <w:sdtEndPr>
      <w:rPr>
        <w:rStyle w:val="PageNumber"/>
      </w:rPr>
    </w:sdtEndPr>
    <w:sdtContent>
      <w:p w14:paraId="6077DB08" w14:textId="77777777" w:rsidR="00374FCA" w:rsidRDefault="00374FCA" w:rsidP="007B0F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1AA27C" w14:textId="77777777" w:rsidR="00374FCA" w:rsidRDefault="00374FCA" w:rsidP="00374F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FE93D" w14:textId="77777777" w:rsidR="00085490" w:rsidRDefault="00085490" w:rsidP="00374FCA">
      <w:r>
        <w:separator/>
      </w:r>
    </w:p>
  </w:footnote>
  <w:footnote w:type="continuationSeparator" w:id="0">
    <w:p w14:paraId="21ABE485" w14:textId="77777777" w:rsidR="00085490" w:rsidRDefault="00085490" w:rsidP="00374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30CE"/>
    <w:multiLevelType w:val="hybridMultilevel"/>
    <w:tmpl w:val="A2D8BC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181931"/>
    <w:multiLevelType w:val="hybridMultilevel"/>
    <w:tmpl w:val="A2D8BC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9F00A28"/>
    <w:multiLevelType w:val="hybridMultilevel"/>
    <w:tmpl w:val="3B1ADC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63476B1A"/>
    <w:multiLevelType w:val="hybridMultilevel"/>
    <w:tmpl w:val="186676AC"/>
    <w:lvl w:ilvl="0" w:tplc="402669F8">
      <w:start w:val="1"/>
      <w:numFmt w:val="lowerRoman"/>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2E32C44"/>
    <w:multiLevelType w:val="hybridMultilevel"/>
    <w:tmpl w:val="3B1ADC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14618144">
    <w:abstractNumId w:val="0"/>
  </w:num>
  <w:num w:numId="2" w16cid:durableId="1799370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4693623">
    <w:abstractNumId w:val="4"/>
  </w:num>
  <w:num w:numId="4" w16cid:durableId="1715886520">
    <w:abstractNumId w:val="3"/>
  </w:num>
  <w:num w:numId="5" w16cid:durableId="163663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DF"/>
    <w:rsid w:val="00001CEF"/>
    <w:rsid w:val="00014870"/>
    <w:rsid w:val="00015066"/>
    <w:rsid w:val="00023943"/>
    <w:rsid w:val="00027481"/>
    <w:rsid w:val="000276D0"/>
    <w:rsid w:val="000334DD"/>
    <w:rsid w:val="00033C0B"/>
    <w:rsid w:val="00037C12"/>
    <w:rsid w:val="00043195"/>
    <w:rsid w:val="000652C8"/>
    <w:rsid w:val="00071397"/>
    <w:rsid w:val="00072820"/>
    <w:rsid w:val="00085490"/>
    <w:rsid w:val="00092567"/>
    <w:rsid w:val="00095C3E"/>
    <w:rsid w:val="00096022"/>
    <w:rsid w:val="000A10F1"/>
    <w:rsid w:val="000B740C"/>
    <w:rsid w:val="000C189D"/>
    <w:rsid w:val="000D7593"/>
    <w:rsid w:val="000E188C"/>
    <w:rsid w:val="000E6BDF"/>
    <w:rsid w:val="000E7CAF"/>
    <w:rsid w:val="000F06DB"/>
    <w:rsid w:val="001267EA"/>
    <w:rsid w:val="0013086B"/>
    <w:rsid w:val="0013334D"/>
    <w:rsid w:val="00143117"/>
    <w:rsid w:val="00157C4E"/>
    <w:rsid w:val="00171348"/>
    <w:rsid w:val="00175C62"/>
    <w:rsid w:val="001817D1"/>
    <w:rsid w:val="0018312D"/>
    <w:rsid w:val="00184212"/>
    <w:rsid w:val="00186E7F"/>
    <w:rsid w:val="00193242"/>
    <w:rsid w:val="001A2992"/>
    <w:rsid w:val="001A3757"/>
    <w:rsid w:val="001C56DB"/>
    <w:rsid w:val="001D612A"/>
    <w:rsid w:val="001D7A5A"/>
    <w:rsid w:val="001E5AFC"/>
    <w:rsid w:val="001F6D5C"/>
    <w:rsid w:val="00200D61"/>
    <w:rsid w:val="00210E48"/>
    <w:rsid w:val="00212C33"/>
    <w:rsid w:val="00216AFA"/>
    <w:rsid w:val="0021770E"/>
    <w:rsid w:val="00217AD2"/>
    <w:rsid w:val="00230AC9"/>
    <w:rsid w:val="0023220C"/>
    <w:rsid w:val="00255461"/>
    <w:rsid w:val="00257324"/>
    <w:rsid w:val="002574F2"/>
    <w:rsid w:val="00261267"/>
    <w:rsid w:val="00272DF6"/>
    <w:rsid w:val="002766B4"/>
    <w:rsid w:val="00284D36"/>
    <w:rsid w:val="0028593B"/>
    <w:rsid w:val="0029150B"/>
    <w:rsid w:val="00294E17"/>
    <w:rsid w:val="0029587A"/>
    <w:rsid w:val="002A3B94"/>
    <w:rsid w:val="002B4701"/>
    <w:rsid w:val="002C2E4F"/>
    <w:rsid w:val="002C3A69"/>
    <w:rsid w:val="002C53E3"/>
    <w:rsid w:val="002D731D"/>
    <w:rsid w:val="002E0052"/>
    <w:rsid w:val="002E453A"/>
    <w:rsid w:val="00301390"/>
    <w:rsid w:val="0030613B"/>
    <w:rsid w:val="00307A25"/>
    <w:rsid w:val="003102AF"/>
    <w:rsid w:val="00321E66"/>
    <w:rsid w:val="003225AA"/>
    <w:rsid w:val="0033222B"/>
    <w:rsid w:val="0033660E"/>
    <w:rsid w:val="003430F0"/>
    <w:rsid w:val="0034593C"/>
    <w:rsid w:val="00374FCA"/>
    <w:rsid w:val="00377C07"/>
    <w:rsid w:val="003832B8"/>
    <w:rsid w:val="00385FD9"/>
    <w:rsid w:val="00395C11"/>
    <w:rsid w:val="003A04F5"/>
    <w:rsid w:val="003A7E82"/>
    <w:rsid w:val="003B2DCC"/>
    <w:rsid w:val="003C17CA"/>
    <w:rsid w:val="003C32F8"/>
    <w:rsid w:val="003C53FC"/>
    <w:rsid w:val="003C5C73"/>
    <w:rsid w:val="003C695D"/>
    <w:rsid w:val="003E71B5"/>
    <w:rsid w:val="003F0272"/>
    <w:rsid w:val="003F3215"/>
    <w:rsid w:val="004016C4"/>
    <w:rsid w:val="0042484E"/>
    <w:rsid w:val="00425867"/>
    <w:rsid w:val="00431138"/>
    <w:rsid w:val="00434943"/>
    <w:rsid w:val="004351EF"/>
    <w:rsid w:val="00440497"/>
    <w:rsid w:val="00460C65"/>
    <w:rsid w:val="00461FF8"/>
    <w:rsid w:val="004666AE"/>
    <w:rsid w:val="004719FB"/>
    <w:rsid w:val="00484E64"/>
    <w:rsid w:val="004A059E"/>
    <w:rsid w:val="004C1642"/>
    <w:rsid w:val="004C6911"/>
    <w:rsid w:val="004D2015"/>
    <w:rsid w:val="004D4995"/>
    <w:rsid w:val="004E4CC3"/>
    <w:rsid w:val="004F02C3"/>
    <w:rsid w:val="004F2111"/>
    <w:rsid w:val="005025A5"/>
    <w:rsid w:val="0050374C"/>
    <w:rsid w:val="00506D61"/>
    <w:rsid w:val="00511A02"/>
    <w:rsid w:val="0052088C"/>
    <w:rsid w:val="00521A33"/>
    <w:rsid w:val="00530705"/>
    <w:rsid w:val="00533FC9"/>
    <w:rsid w:val="00536393"/>
    <w:rsid w:val="005367B7"/>
    <w:rsid w:val="00544B3D"/>
    <w:rsid w:val="005511ED"/>
    <w:rsid w:val="00552DE2"/>
    <w:rsid w:val="00556F57"/>
    <w:rsid w:val="00570BB5"/>
    <w:rsid w:val="00581D97"/>
    <w:rsid w:val="00590816"/>
    <w:rsid w:val="005A0610"/>
    <w:rsid w:val="005A7E1E"/>
    <w:rsid w:val="005B04EA"/>
    <w:rsid w:val="005B70F5"/>
    <w:rsid w:val="005C17C8"/>
    <w:rsid w:val="005C5965"/>
    <w:rsid w:val="005D092C"/>
    <w:rsid w:val="005D3528"/>
    <w:rsid w:val="005E3A84"/>
    <w:rsid w:val="005E62D9"/>
    <w:rsid w:val="005F05DA"/>
    <w:rsid w:val="005F15A5"/>
    <w:rsid w:val="00600571"/>
    <w:rsid w:val="00605DA1"/>
    <w:rsid w:val="00610E0B"/>
    <w:rsid w:val="00622AAF"/>
    <w:rsid w:val="00627107"/>
    <w:rsid w:val="0064345B"/>
    <w:rsid w:val="00643952"/>
    <w:rsid w:val="0068639D"/>
    <w:rsid w:val="00686E5A"/>
    <w:rsid w:val="006B2B46"/>
    <w:rsid w:val="006C124C"/>
    <w:rsid w:val="006D6B38"/>
    <w:rsid w:val="006F5114"/>
    <w:rsid w:val="00701C90"/>
    <w:rsid w:val="007044C0"/>
    <w:rsid w:val="00705ADD"/>
    <w:rsid w:val="00720EDF"/>
    <w:rsid w:val="007240FB"/>
    <w:rsid w:val="00724B13"/>
    <w:rsid w:val="00725C57"/>
    <w:rsid w:val="007263A7"/>
    <w:rsid w:val="00733412"/>
    <w:rsid w:val="00734DCA"/>
    <w:rsid w:val="00734FD7"/>
    <w:rsid w:val="007446FE"/>
    <w:rsid w:val="00744EA9"/>
    <w:rsid w:val="00762199"/>
    <w:rsid w:val="007677EB"/>
    <w:rsid w:val="00772A23"/>
    <w:rsid w:val="00777C01"/>
    <w:rsid w:val="00786788"/>
    <w:rsid w:val="007B2633"/>
    <w:rsid w:val="007B603D"/>
    <w:rsid w:val="007E5554"/>
    <w:rsid w:val="007E7892"/>
    <w:rsid w:val="008075F6"/>
    <w:rsid w:val="008147A4"/>
    <w:rsid w:val="00815EB0"/>
    <w:rsid w:val="00847974"/>
    <w:rsid w:val="0085189B"/>
    <w:rsid w:val="008569E1"/>
    <w:rsid w:val="008674B3"/>
    <w:rsid w:val="00875869"/>
    <w:rsid w:val="008771C0"/>
    <w:rsid w:val="00882C51"/>
    <w:rsid w:val="00891F58"/>
    <w:rsid w:val="008B5136"/>
    <w:rsid w:val="008C7B23"/>
    <w:rsid w:val="008D15E5"/>
    <w:rsid w:val="008D4E42"/>
    <w:rsid w:val="008D7713"/>
    <w:rsid w:val="008E02EA"/>
    <w:rsid w:val="008E0726"/>
    <w:rsid w:val="008E1F77"/>
    <w:rsid w:val="008E6EDF"/>
    <w:rsid w:val="008F0479"/>
    <w:rsid w:val="008F2EBF"/>
    <w:rsid w:val="008F6CC1"/>
    <w:rsid w:val="00901700"/>
    <w:rsid w:val="00911409"/>
    <w:rsid w:val="00916F3E"/>
    <w:rsid w:val="00924ADB"/>
    <w:rsid w:val="00924F4E"/>
    <w:rsid w:val="009256C0"/>
    <w:rsid w:val="00925EDB"/>
    <w:rsid w:val="0093722E"/>
    <w:rsid w:val="009412EB"/>
    <w:rsid w:val="00961C7F"/>
    <w:rsid w:val="00962B7C"/>
    <w:rsid w:val="00985DB2"/>
    <w:rsid w:val="009940B8"/>
    <w:rsid w:val="0099455D"/>
    <w:rsid w:val="009A512A"/>
    <w:rsid w:val="009C3FFA"/>
    <w:rsid w:val="009D1E9E"/>
    <w:rsid w:val="009D616A"/>
    <w:rsid w:val="009E24F7"/>
    <w:rsid w:val="009E5924"/>
    <w:rsid w:val="009E71C8"/>
    <w:rsid w:val="009E794A"/>
    <w:rsid w:val="009F43FE"/>
    <w:rsid w:val="009F7A68"/>
    <w:rsid w:val="00A2527A"/>
    <w:rsid w:val="00A424FD"/>
    <w:rsid w:val="00A44740"/>
    <w:rsid w:val="00A469A4"/>
    <w:rsid w:val="00A5050E"/>
    <w:rsid w:val="00A54431"/>
    <w:rsid w:val="00A5471B"/>
    <w:rsid w:val="00A612DE"/>
    <w:rsid w:val="00A643B0"/>
    <w:rsid w:val="00A64B4A"/>
    <w:rsid w:val="00A7678F"/>
    <w:rsid w:val="00A77E71"/>
    <w:rsid w:val="00A80312"/>
    <w:rsid w:val="00A85773"/>
    <w:rsid w:val="00A95536"/>
    <w:rsid w:val="00A962D6"/>
    <w:rsid w:val="00AA0F4F"/>
    <w:rsid w:val="00AB1567"/>
    <w:rsid w:val="00AB38BC"/>
    <w:rsid w:val="00AB3C4F"/>
    <w:rsid w:val="00AB5F94"/>
    <w:rsid w:val="00AB7FAF"/>
    <w:rsid w:val="00AC277A"/>
    <w:rsid w:val="00AD11C4"/>
    <w:rsid w:val="00AE0417"/>
    <w:rsid w:val="00AE060F"/>
    <w:rsid w:val="00AE3B16"/>
    <w:rsid w:val="00AE6D9B"/>
    <w:rsid w:val="00AF643C"/>
    <w:rsid w:val="00AF6761"/>
    <w:rsid w:val="00B01D62"/>
    <w:rsid w:val="00B1566C"/>
    <w:rsid w:val="00B25EE9"/>
    <w:rsid w:val="00B32A85"/>
    <w:rsid w:val="00B32E32"/>
    <w:rsid w:val="00B54685"/>
    <w:rsid w:val="00B55247"/>
    <w:rsid w:val="00B6153D"/>
    <w:rsid w:val="00B70A3E"/>
    <w:rsid w:val="00B923E4"/>
    <w:rsid w:val="00B92831"/>
    <w:rsid w:val="00B93812"/>
    <w:rsid w:val="00B9434C"/>
    <w:rsid w:val="00BB1873"/>
    <w:rsid w:val="00BB33AF"/>
    <w:rsid w:val="00BB69B8"/>
    <w:rsid w:val="00BF3376"/>
    <w:rsid w:val="00C05D62"/>
    <w:rsid w:val="00C12AA0"/>
    <w:rsid w:val="00C216D8"/>
    <w:rsid w:val="00C22E75"/>
    <w:rsid w:val="00C3390A"/>
    <w:rsid w:val="00C47AE3"/>
    <w:rsid w:val="00C56AE2"/>
    <w:rsid w:val="00C62332"/>
    <w:rsid w:val="00C6394D"/>
    <w:rsid w:val="00C639A8"/>
    <w:rsid w:val="00C72DE0"/>
    <w:rsid w:val="00C81A8E"/>
    <w:rsid w:val="00C84DF3"/>
    <w:rsid w:val="00C90684"/>
    <w:rsid w:val="00C9474A"/>
    <w:rsid w:val="00C95064"/>
    <w:rsid w:val="00C95D64"/>
    <w:rsid w:val="00CA4023"/>
    <w:rsid w:val="00CA753F"/>
    <w:rsid w:val="00CC40E3"/>
    <w:rsid w:val="00CD3CAF"/>
    <w:rsid w:val="00CE0688"/>
    <w:rsid w:val="00CE4AB8"/>
    <w:rsid w:val="00CE6D3E"/>
    <w:rsid w:val="00CE754A"/>
    <w:rsid w:val="00CF654E"/>
    <w:rsid w:val="00CF754F"/>
    <w:rsid w:val="00CF7B06"/>
    <w:rsid w:val="00D00B63"/>
    <w:rsid w:val="00D01240"/>
    <w:rsid w:val="00D1259E"/>
    <w:rsid w:val="00D12ABD"/>
    <w:rsid w:val="00D14A33"/>
    <w:rsid w:val="00D26B04"/>
    <w:rsid w:val="00D30B29"/>
    <w:rsid w:val="00D40B03"/>
    <w:rsid w:val="00D443E9"/>
    <w:rsid w:val="00D52382"/>
    <w:rsid w:val="00D70786"/>
    <w:rsid w:val="00D73A05"/>
    <w:rsid w:val="00D76829"/>
    <w:rsid w:val="00D829E9"/>
    <w:rsid w:val="00D86929"/>
    <w:rsid w:val="00D9754D"/>
    <w:rsid w:val="00DB4ADA"/>
    <w:rsid w:val="00DC1A76"/>
    <w:rsid w:val="00DC57C9"/>
    <w:rsid w:val="00DE045F"/>
    <w:rsid w:val="00DE0FB4"/>
    <w:rsid w:val="00DE1D1A"/>
    <w:rsid w:val="00DE1FAC"/>
    <w:rsid w:val="00DE5DC1"/>
    <w:rsid w:val="00DE73D6"/>
    <w:rsid w:val="00E20A22"/>
    <w:rsid w:val="00E24A9E"/>
    <w:rsid w:val="00E35406"/>
    <w:rsid w:val="00E42640"/>
    <w:rsid w:val="00E47D67"/>
    <w:rsid w:val="00E50C2F"/>
    <w:rsid w:val="00E5543E"/>
    <w:rsid w:val="00E57354"/>
    <w:rsid w:val="00E710DA"/>
    <w:rsid w:val="00E71767"/>
    <w:rsid w:val="00E7778E"/>
    <w:rsid w:val="00E84DF2"/>
    <w:rsid w:val="00E96C4B"/>
    <w:rsid w:val="00EA12D6"/>
    <w:rsid w:val="00EA59AD"/>
    <w:rsid w:val="00EB30A6"/>
    <w:rsid w:val="00EC6DF7"/>
    <w:rsid w:val="00EC735C"/>
    <w:rsid w:val="00ED3F5B"/>
    <w:rsid w:val="00EE4C9A"/>
    <w:rsid w:val="00EF10EF"/>
    <w:rsid w:val="00EF31B3"/>
    <w:rsid w:val="00F019AE"/>
    <w:rsid w:val="00F11921"/>
    <w:rsid w:val="00F2048A"/>
    <w:rsid w:val="00F22125"/>
    <w:rsid w:val="00F255C4"/>
    <w:rsid w:val="00F514D8"/>
    <w:rsid w:val="00F56360"/>
    <w:rsid w:val="00F679AD"/>
    <w:rsid w:val="00F74B3A"/>
    <w:rsid w:val="00F75B82"/>
    <w:rsid w:val="00F860E7"/>
    <w:rsid w:val="00F87107"/>
    <w:rsid w:val="00F949DA"/>
    <w:rsid w:val="00F95507"/>
    <w:rsid w:val="00FB3994"/>
    <w:rsid w:val="00FB6D86"/>
    <w:rsid w:val="00FC7FDF"/>
    <w:rsid w:val="00FE1A44"/>
    <w:rsid w:val="00FF54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0C73"/>
  <w15:chartTrackingRefBased/>
  <w15:docId w15:val="{AD8C872E-5669-9E4D-89F9-70DF8FED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FCA"/>
    <w:pPr>
      <w:ind w:left="720"/>
      <w:contextualSpacing/>
    </w:pPr>
  </w:style>
  <w:style w:type="paragraph" w:styleId="Footer">
    <w:name w:val="footer"/>
    <w:basedOn w:val="Normal"/>
    <w:link w:val="FooterChar"/>
    <w:uiPriority w:val="99"/>
    <w:unhideWhenUsed/>
    <w:rsid w:val="00374FCA"/>
    <w:pPr>
      <w:tabs>
        <w:tab w:val="center" w:pos="4536"/>
        <w:tab w:val="right" w:pos="9072"/>
      </w:tabs>
    </w:pPr>
  </w:style>
  <w:style w:type="character" w:customStyle="1" w:styleId="FooterChar">
    <w:name w:val="Footer Char"/>
    <w:basedOn w:val="DefaultParagraphFont"/>
    <w:link w:val="Footer"/>
    <w:uiPriority w:val="99"/>
    <w:rsid w:val="00374FCA"/>
  </w:style>
  <w:style w:type="character" w:styleId="PageNumber">
    <w:name w:val="page number"/>
    <w:basedOn w:val="DefaultParagraphFont"/>
    <w:uiPriority w:val="99"/>
    <w:semiHidden/>
    <w:unhideWhenUsed/>
    <w:rsid w:val="00374FCA"/>
  </w:style>
  <w:style w:type="character" w:styleId="CommentReference">
    <w:name w:val="annotation reference"/>
    <w:basedOn w:val="DefaultParagraphFont"/>
    <w:uiPriority w:val="99"/>
    <w:semiHidden/>
    <w:unhideWhenUsed/>
    <w:rsid w:val="00C81A8E"/>
    <w:rPr>
      <w:sz w:val="16"/>
      <w:szCs w:val="16"/>
    </w:rPr>
  </w:style>
  <w:style w:type="paragraph" w:styleId="CommentText">
    <w:name w:val="annotation text"/>
    <w:basedOn w:val="Normal"/>
    <w:link w:val="CommentTextChar"/>
    <w:uiPriority w:val="99"/>
    <w:semiHidden/>
    <w:unhideWhenUsed/>
    <w:rsid w:val="00C81A8E"/>
    <w:rPr>
      <w:sz w:val="20"/>
      <w:szCs w:val="20"/>
    </w:rPr>
  </w:style>
  <w:style w:type="character" w:customStyle="1" w:styleId="CommentTextChar">
    <w:name w:val="Comment Text Char"/>
    <w:basedOn w:val="DefaultParagraphFont"/>
    <w:link w:val="CommentText"/>
    <w:uiPriority w:val="99"/>
    <w:semiHidden/>
    <w:rsid w:val="00C81A8E"/>
    <w:rPr>
      <w:sz w:val="20"/>
      <w:szCs w:val="20"/>
    </w:rPr>
  </w:style>
  <w:style w:type="paragraph" w:styleId="CommentSubject">
    <w:name w:val="annotation subject"/>
    <w:basedOn w:val="CommentText"/>
    <w:next w:val="CommentText"/>
    <w:link w:val="CommentSubjectChar"/>
    <w:uiPriority w:val="99"/>
    <w:semiHidden/>
    <w:unhideWhenUsed/>
    <w:rsid w:val="00C81A8E"/>
    <w:rPr>
      <w:b/>
      <w:bCs/>
    </w:rPr>
  </w:style>
  <w:style w:type="character" w:customStyle="1" w:styleId="CommentSubjectChar">
    <w:name w:val="Comment Subject Char"/>
    <w:basedOn w:val="CommentTextChar"/>
    <w:link w:val="CommentSubject"/>
    <w:uiPriority w:val="99"/>
    <w:semiHidden/>
    <w:rsid w:val="00C81A8E"/>
    <w:rPr>
      <w:b/>
      <w:bCs/>
      <w:sz w:val="20"/>
      <w:szCs w:val="20"/>
    </w:rPr>
  </w:style>
  <w:style w:type="paragraph" w:styleId="BalloonText">
    <w:name w:val="Balloon Text"/>
    <w:basedOn w:val="Normal"/>
    <w:link w:val="BalloonTextChar"/>
    <w:uiPriority w:val="99"/>
    <w:semiHidden/>
    <w:unhideWhenUsed/>
    <w:rsid w:val="00C81A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A8E"/>
    <w:rPr>
      <w:rFonts w:ascii="Segoe UI" w:hAnsi="Segoe UI" w:cs="Segoe UI"/>
      <w:sz w:val="18"/>
      <w:szCs w:val="18"/>
    </w:rPr>
  </w:style>
  <w:style w:type="paragraph" w:styleId="FootnoteText">
    <w:name w:val="footnote text"/>
    <w:basedOn w:val="Normal"/>
    <w:link w:val="FootnoteTextChar"/>
    <w:uiPriority w:val="99"/>
    <w:unhideWhenUsed/>
    <w:rsid w:val="00622AAF"/>
    <w:rPr>
      <w:sz w:val="20"/>
      <w:szCs w:val="20"/>
    </w:rPr>
  </w:style>
  <w:style w:type="character" w:customStyle="1" w:styleId="FootnoteTextChar">
    <w:name w:val="Footnote Text Char"/>
    <w:basedOn w:val="DefaultParagraphFont"/>
    <w:link w:val="FootnoteText"/>
    <w:uiPriority w:val="99"/>
    <w:rsid w:val="00622AAF"/>
    <w:rPr>
      <w:sz w:val="20"/>
      <w:szCs w:val="20"/>
    </w:rPr>
  </w:style>
  <w:style w:type="character" w:styleId="FootnoteReference">
    <w:name w:val="footnote reference"/>
    <w:basedOn w:val="DefaultParagraphFont"/>
    <w:uiPriority w:val="99"/>
    <w:semiHidden/>
    <w:unhideWhenUsed/>
    <w:rsid w:val="00622AAF"/>
    <w:rPr>
      <w:vertAlign w:val="superscript"/>
    </w:rPr>
  </w:style>
  <w:style w:type="character" w:styleId="Hyperlink">
    <w:name w:val="Hyperlink"/>
    <w:basedOn w:val="DefaultParagraphFont"/>
    <w:uiPriority w:val="99"/>
    <w:unhideWhenUsed/>
    <w:rsid w:val="006F5114"/>
    <w:rPr>
      <w:color w:val="0000FF"/>
      <w:u w:val="single"/>
    </w:rPr>
  </w:style>
  <w:style w:type="character" w:styleId="FollowedHyperlink">
    <w:name w:val="FollowedHyperlink"/>
    <w:basedOn w:val="DefaultParagraphFont"/>
    <w:uiPriority w:val="99"/>
    <w:semiHidden/>
    <w:unhideWhenUsed/>
    <w:rsid w:val="006F5114"/>
    <w:rPr>
      <w:color w:val="954F72" w:themeColor="followedHyperlink"/>
      <w:u w:val="single"/>
    </w:rPr>
  </w:style>
  <w:style w:type="character" w:styleId="UnresolvedMention">
    <w:name w:val="Unresolved Mention"/>
    <w:basedOn w:val="DefaultParagraphFont"/>
    <w:uiPriority w:val="99"/>
    <w:semiHidden/>
    <w:unhideWhenUsed/>
    <w:rsid w:val="005E62D9"/>
    <w:rPr>
      <w:color w:val="605E5C"/>
      <w:shd w:val="clear" w:color="auto" w:fill="E1DFDD"/>
    </w:rPr>
  </w:style>
  <w:style w:type="paragraph" w:styleId="Revision">
    <w:name w:val="Revision"/>
    <w:hidden/>
    <w:uiPriority w:val="99"/>
    <w:semiHidden/>
    <w:rsid w:val="002E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6244">
      <w:bodyDiv w:val="1"/>
      <w:marLeft w:val="0"/>
      <w:marRight w:val="0"/>
      <w:marTop w:val="0"/>
      <w:marBottom w:val="0"/>
      <w:divBdr>
        <w:top w:val="none" w:sz="0" w:space="0" w:color="auto"/>
        <w:left w:val="none" w:sz="0" w:space="0" w:color="auto"/>
        <w:bottom w:val="none" w:sz="0" w:space="0" w:color="auto"/>
        <w:right w:val="none" w:sz="0" w:space="0" w:color="auto"/>
      </w:divBdr>
      <w:divsChild>
        <w:div w:id="691617109">
          <w:marLeft w:val="0"/>
          <w:marRight w:val="0"/>
          <w:marTop w:val="0"/>
          <w:marBottom w:val="0"/>
          <w:divBdr>
            <w:top w:val="none" w:sz="0" w:space="0" w:color="auto"/>
            <w:left w:val="none" w:sz="0" w:space="0" w:color="auto"/>
            <w:bottom w:val="none" w:sz="0" w:space="0" w:color="auto"/>
            <w:right w:val="none" w:sz="0" w:space="0" w:color="auto"/>
          </w:divBdr>
          <w:divsChild>
            <w:div w:id="1532498950">
              <w:marLeft w:val="0"/>
              <w:marRight w:val="0"/>
              <w:marTop w:val="0"/>
              <w:marBottom w:val="0"/>
              <w:divBdr>
                <w:top w:val="none" w:sz="0" w:space="0" w:color="auto"/>
                <w:left w:val="none" w:sz="0" w:space="0" w:color="auto"/>
                <w:bottom w:val="none" w:sz="0" w:space="0" w:color="auto"/>
                <w:right w:val="none" w:sz="0" w:space="0" w:color="auto"/>
              </w:divBdr>
              <w:divsChild>
                <w:div w:id="10862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72239">
      <w:bodyDiv w:val="1"/>
      <w:marLeft w:val="0"/>
      <w:marRight w:val="0"/>
      <w:marTop w:val="0"/>
      <w:marBottom w:val="0"/>
      <w:divBdr>
        <w:top w:val="none" w:sz="0" w:space="0" w:color="auto"/>
        <w:left w:val="none" w:sz="0" w:space="0" w:color="auto"/>
        <w:bottom w:val="none" w:sz="0" w:space="0" w:color="auto"/>
        <w:right w:val="none" w:sz="0" w:space="0" w:color="auto"/>
      </w:divBdr>
      <w:divsChild>
        <w:div w:id="1023436621">
          <w:marLeft w:val="0"/>
          <w:marRight w:val="0"/>
          <w:marTop w:val="0"/>
          <w:marBottom w:val="0"/>
          <w:divBdr>
            <w:top w:val="none" w:sz="0" w:space="0" w:color="auto"/>
            <w:left w:val="none" w:sz="0" w:space="0" w:color="auto"/>
            <w:bottom w:val="none" w:sz="0" w:space="0" w:color="auto"/>
            <w:right w:val="none" w:sz="0" w:space="0" w:color="auto"/>
          </w:divBdr>
          <w:divsChild>
            <w:div w:id="1481380920">
              <w:marLeft w:val="0"/>
              <w:marRight w:val="0"/>
              <w:marTop w:val="0"/>
              <w:marBottom w:val="0"/>
              <w:divBdr>
                <w:top w:val="none" w:sz="0" w:space="0" w:color="auto"/>
                <w:left w:val="none" w:sz="0" w:space="0" w:color="auto"/>
                <w:bottom w:val="none" w:sz="0" w:space="0" w:color="auto"/>
                <w:right w:val="none" w:sz="0" w:space="0" w:color="auto"/>
              </w:divBdr>
              <w:divsChild>
                <w:div w:id="10176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769252">
      <w:bodyDiv w:val="1"/>
      <w:marLeft w:val="0"/>
      <w:marRight w:val="0"/>
      <w:marTop w:val="0"/>
      <w:marBottom w:val="0"/>
      <w:divBdr>
        <w:top w:val="none" w:sz="0" w:space="0" w:color="auto"/>
        <w:left w:val="none" w:sz="0" w:space="0" w:color="auto"/>
        <w:bottom w:val="none" w:sz="0" w:space="0" w:color="auto"/>
        <w:right w:val="none" w:sz="0" w:space="0" w:color="auto"/>
      </w:divBdr>
    </w:div>
    <w:div w:id="690961563">
      <w:bodyDiv w:val="1"/>
      <w:marLeft w:val="0"/>
      <w:marRight w:val="0"/>
      <w:marTop w:val="0"/>
      <w:marBottom w:val="0"/>
      <w:divBdr>
        <w:top w:val="none" w:sz="0" w:space="0" w:color="auto"/>
        <w:left w:val="none" w:sz="0" w:space="0" w:color="auto"/>
        <w:bottom w:val="none" w:sz="0" w:space="0" w:color="auto"/>
        <w:right w:val="none" w:sz="0" w:space="0" w:color="auto"/>
      </w:divBdr>
      <w:divsChild>
        <w:div w:id="38942958">
          <w:marLeft w:val="0"/>
          <w:marRight w:val="0"/>
          <w:marTop w:val="0"/>
          <w:marBottom w:val="0"/>
          <w:divBdr>
            <w:top w:val="none" w:sz="0" w:space="0" w:color="auto"/>
            <w:left w:val="none" w:sz="0" w:space="0" w:color="auto"/>
            <w:bottom w:val="none" w:sz="0" w:space="0" w:color="auto"/>
            <w:right w:val="none" w:sz="0" w:space="0" w:color="auto"/>
          </w:divBdr>
          <w:divsChild>
            <w:div w:id="1981767073">
              <w:marLeft w:val="0"/>
              <w:marRight w:val="0"/>
              <w:marTop w:val="0"/>
              <w:marBottom w:val="0"/>
              <w:divBdr>
                <w:top w:val="none" w:sz="0" w:space="0" w:color="auto"/>
                <w:left w:val="none" w:sz="0" w:space="0" w:color="auto"/>
                <w:bottom w:val="none" w:sz="0" w:space="0" w:color="auto"/>
                <w:right w:val="none" w:sz="0" w:space="0" w:color="auto"/>
              </w:divBdr>
              <w:divsChild>
                <w:div w:id="367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2224">
      <w:bodyDiv w:val="1"/>
      <w:marLeft w:val="0"/>
      <w:marRight w:val="0"/>
      <w:marTop w:val="0"/>
      <w:marBottom w:val="0"/>
      <w:divBdr>
        <w:top w:val="none" w:sz="0" w:space="0" w:color="auto"/>
        <w:left w:val="none" w:sz="0" w:space="0" w:color="auto"/>
        <w:bottom w:val="none" w:sz="0" w:space="0" w:color="auto"/>
        <w:right w:val="none" w:sz="0" w:space="0" w:color="auto"/>
      </w:divBdr>
      <w:divsChild>
        <w:div w:id="596258150">
          <w:marLeft w:val="0"/>
          <w:marRight w:val="0"/>
          <w:marTop w:val="0"/>
          <w:marBottom w:val="0"/>
          <w:divBdr>
            <w:top w:val="none" w:sz="0" w:space="0" w:color="auto"/>
            <w:left w:val="none" w:sz="0" w:space="0" w:color="auto"/>
            <w:bottom w:val="none" w:sz="0" w:space="0" w:color="auto"/>
            <w:right w:val="none" w:sz="0" w:space="0" w:color="auto"/>
          </w:divBdr>
          <w:divsChild>
            <w:div w:id="7032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400">
      <w:bodyDiv w:val="1"/>
      <w:marLeft w:val="0"/>
      <w:marRight w:val="0"/>
      <w:marTop w:val="0"/>
      <w:marBottom w:val="0"/>
      <w:divBdr>
        <w:top w:val="none" w:sz="0" w:space="0" w:color="auto"/>
        <w:left w:val="none" w:sz="0" w:space="0" w:color="auto"/>
        <w:bottom w:val="none" w:sz="0" w:space="0" w:color="auto"/>
        <w:right w:val="none" w:sz="0" w:space="0" w:color="auto"/>
      </w:divBdr>
    </w:div>
    <w:div w:id="1318799217">
      <w:bodyDiv w:val="1"/>
      <w:marLeft w:val="0"/>
      <w:marRight w:val="0"/>
      <w:marTop w:val="0"/>
      <w:marBottom w:val="0"/>
      <w:divBdr>
        <w:top w:val="none" w:sz="0" w:space="0" w:color="auto"/>
        <w:left w:val="none" w:sz="0" w:space="0" w:color="auto"/>
        <w:bottom w:val="none" w:sz="0" w:space="0" w:color="auto"/>
        <w:right w:val="none" w:sz="0" w:space="0" w:color="auto"/>
      </w:divBdr>
    </w:div>
    <w:div w:id="1610357435">
      <w:bodyDiv w:val="1"/>
      <w:marLeft w:val="0"/>
      <w:marRight w:val="0"/>
      <w:marTop w:val="0"/>
      <w:marBottom w:val="0"/>
      <w:divBdr>
        <w:top w:val="none" w:sz="0" w:space="0" w:color="auto"/>
        <w:left w:val="none" w:sz="0" w:space="0" w:color="auto"/>
        <w:bottom w:val="none" w:sz="0" w:space="0" w:color="auto"/>
        <w:right w:val="none" w:sz="0" w:space="0" w:color="auto"/>
      </w:divBdr>
    </w:div>
    <w:div w:id="1683893279">
      <w:bodyDiv w:val="1"/>
      <w:marLeft w:val="0"/>
      <w:marRight w:val="0"/>
      <w:marTop w:val="0"/>
      <w:marBottom w:val="0"/>
      <w:divBdr>
        <w:top w:val="none" w:sz="0" w:space="0" w:color="auto"/>
        <w:left w:val="none" w:sz="0" w:space="0" w:color="auto"/>
        <w:bottom w:val="none" w:sz="0" w:space="0" w:color="auto"/>
        <w:right w:val="none" w:sz="0" w:space="0" w:color="auto"/>
      </w:divBdr>
      <w:divsChild>
        <w:div w:id="44791812">
          <w:marLeft w:val="0"/>
          <w:marRight w:val="0"/>
          <w:marTop w:val="0"/>
          <w:marBottom w:val="0"/>
          <w:divBdr>
            <w:top w:val="none" w:sz="0" w:space="0" w:color="auto"/>
            <w:left w:val="none" w:sz="0" w:space="0" w:color="auto"/>
            <w:bottom w:val="none" w:sz="0" w:space="0" w:color="auto"/>
            <w:right w:val="none" w:sz="0" w:space="0" w:color="auto"/>
          </w:divBdr>
          <w:divsChild>
            <w:div w:id="1502769904">
              <w:marLeft w:val="0"/>
              <w:marRight w:val="0"/>
              <w:marTop w:val="0"/>
              <w:marBottom w:val="0"/>
              <w:divBdr>
                <w:top w:val="none" w:sz="0" w:space="0" w:color="auto"/>
                <w:left w:val="none" w:sz="0" w:space="0" w:color="auto"/>
                <w:bottom w:val="none" w:sz="0" w:space="0" w:color="auto"/>
                <w:right w:val="none" w:sz="0" w:space="0" w:color="auto"/>
              </w:divBdr>
              <w:divsChild>
                <w:div w:id="26164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2994">
      <w:bodyDiv w:val="1"/>
      <w:marLeft w:val="0"/>
      <w:marRight w:val="0"/>
      <w:marTop w:val="0"/>
      <w:marBottom w:val="0"/>
      <w:divBdr>
        <w:top w:val="none" w:sz="0" w:space="0" w:color="auto"/>
        <w:left w:val="none" w:sz="0" w:space="0" w:color="auto"/>
        <w:bottom w:val="none" w:sz="0" w:space="0" w:color="auto"/>
        <w:right w:val="none" w:sz="0" w:space="0" w:color="auto"/>
      </w:divBdr>
      <w:divsChild>
        <w:div w:id="2043169196">
          <w:marLeft w:val="0"/>
          <w:marRight w:val="0"/>
          <w:marTop w:val="0"/>
          <w:marBottom w:val="0"/>
          <w:divBdr>
            <w:top w:val="none" w:sz="0" w:space="0" w:color="auto"/>
            <w:left w:val="none" w:sz="0" w:space="0" w:color="auto"/>
            <w:bottom w:val="none" w:sz="0" w:space="0" w:color="auto"/>
            <w:right w:val="none" w:sz="0" w:space="0" w:color="auto"/>
          </w:divBdr>
          <w:divsChild>
            <w:div w:id="1493109023">
              <w:marLeft w:val="0"/>
              <w:marRight w:val="0"/>
              <w:marTop w:val="0"/>
              <w:marBottom w:val="0"/>
              <w:divBdr>
                <w:top w:val="none" w:sz="0" w:space="0" w:color="auto"/>
                <w:left w:val="none" w:sz="0" w:space="0" w:color="auto"/>
                <w:bottom w:val="none" w:sz="0" w:space="0" w:color="auto"/>
                <w:right w:val="none" w:sz="0" w:space="0" w:color="auto"/>
              </w:divBdr>
              <w:divsChild>
                <w:div w:id="9825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uria.europa.eu/jcms/upload/docs/application/pdf/2020-11/ndr_2018-004_synthese-neutralisee-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ia.europa.eu/jcms/upload/docs/application/pdf/2020-11/ndr_2018-004_synthese-neutralisee-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cms/upload/docs/application/pdf/2020-11/ndr_2018-004_synthese-neutralisee-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uria.europa.eu/juris/document/document.jsf?text=&amp;docid=247105&amp;pageIndex=0&amp;doclang=SV&amp;mode=lst&amp;dir=&amp;occ=first&amp;part=1&amp;cid=8432549" TargetMode="External"/><Relationship Id="rId4" Type="http://schemas.openxmlformats.org/officeDocument/2006/relationships/settings" Target="settings.xml"/><Relationship Id="rId9" Type="http://schemas.openxmlformats.org/officeDocument/2006/relationships/hyperlink" Target="https://curia.europa.eu/juris/document/document.jsf?text=&amp;docid=256461&amp;pageIndex=0&amp;doclang=nl&amp;mode=lst&amp;dir=&amp;occ=first&amp;part=1&amp;cid=8432549"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7738-D646-458B-83A6-FD89ADA6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1223</Words>
  <Characters>6976</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Dineke de Groot</dc:creator>
  <cp:keywords/>
  <dc:description/>
  <cp:lastModifiedBy>Liis Lindström</cp:lastModifiedBy>
  <cp:revision>7</cp:revision>
  <cp:lastPrinted>2023-02-16T12:47:00Z</cp:lastPrinted>
  <dcterms:created xsi:type="dcterms:W3CDTF">2024-11-06T11:32:00Z</dcterms:created>
  <dcterms:modified xsi:type="dcterms:W3CDTF">2024-11-15T14:13:00Z</dcterms:modified>
</cp:coreProperties>
</file>